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CCA" w:rsidRDefault="00356CCA" w:rsidP="005967A5">
      <w:pPr>
        <w:jc w:val="center"/>
        <w:rPr>
          <w:b/>
        </w:rPr>
      </w:pPr>
    </w:p>
    <w:p w:rsidR="00356CCA" w:rsidRDefault="00356CCA" w:rsidP="005967A5">
      <w:pPr>
        <w:jc w:val="center"/>
        <w:rPr>
          <w:b/>
        </w:rPr>
      </w:pPr>
    </w:p>
    <w:p w:rsidR="00356CCA" w:rsidRPr="006D30A1" w:rsidRDefault="00356CCA" w:rsidP="005967A5">
      <w:pPr>
        <w:jc w:val="center"/>
        <w:rPr>
          <w:b/>
        </w:rPr>
      </w:pPr>
      <w:r w:rsidRPr="006D30A1">
        <w:rPr>
          <w:b/>
        </w:rPr>
        <w:t>Governance and Microfinance Institutions</w:t>
      </w:r>
    </w:p>
    <w:p w:rsidR="00356CCA" w:rsidRDefault="00356CCA" w:rsidP="005967A5">
      <w:pPr>
        <w:jc w:val="center"/>
      </w:pPr>
    </w:p>
    <w:p w:rsidR="00356CCA" w:rsidRDefault="00356CCA" w:rsidP="005967A5">
      <w:pPr>
        <w:jc w:val="center"/>
      </w:pPr>
    </w:p>
    <w:p w:rsidR="00356CCA" w:rsidRDefault="00356CCA" w:rsidP="005967A5">
      <w:pPr>
        <w:jc w:val="center"/>
      </w:pPr>
    </w:p>
    <w:p w:rsidR="00356CCA" w:rsidRDefault="00356CCA" w:rsidP="005967A5">
      <w:pPr>
        <w:jc w:val="center"/>
      </w:pPr>
    </w:p>
    <w:p w:rsidR="00356CCA" w:rsidRDefault="00356CCA" w:rsidP="005967A5">
      <w:pPr>
        <w:jc w:val="center"/>
        <w:rPr>
          <w:sz w:val="24"/>
        </w:rPr>
      </w:pPr>
      <w:r>
        <w:rPr>
          <w:sz w:val="24"/>
        </w:rPr>
        <w:t xml:space="preserve">Rients Galema, </w:t>
      </w:r>
      <w:smartTag w:uri="urn:schemas-microsoft-com:office:smarttags" w:element="PlaceType">
        <w:r>
          <w:rPr>
            <w:sz w:val="24"/>
          </w:rPr>
          <w:t>University</w:t>
        </w:r>
      </w:smartTag>
      <w:r>
        <w:rPr>
          <w:sz w:val="24"/>
        </w:rPr>
        <w:t xml:space="preserve"> of </w:t>
      </w:r>
      <w:smartTag w:uri="urn:schemas-microsoft-com:office:smarttags" w:element="PlaceName">
        <w:r>
          <w:rPr>
            <w:sz w:val="24"/>
          </w:rPr>
          <w:t>Groningen</w:t>
        </w:r>
      </w:smartTag>
      <w:r>
        <w:rPr>
          <w:sz w:val="24"/>
        </w:rPr>
        <w:t xml:space="preserve">, The </w:t>
      </w:r>
      <w:smartTag w:uri="urn:schemas-microsoft-com:office:smarttags" w:element="place">
        <w:smartTag w:uri="urn:schemas-microsoft-com:office:smarttags" w:element="country-region">
          <w:r>
            <w:rPr>
              <w:sz w:val="24"/>
            </w:rPr>
            <w:t>Netherlands</w:t>
          </w:r>
        </w:smartTag>
      </w:smartTag>
      <w:r>
        <w:rPr>
          <w:sz w:val="24"/>
        </w:rPr>
        <w:t xml:space="preserve"> </w:t>
      </w:r>
    </w:p>
    <w:p w:rsidR="00356CCA" w:rsidRDefault="00356CCA" w:rsidP="00AF2C5F">
      <w:pPr>
        <w:jc w:val="center"/>
      </w:pPr>
      <w:r>
        <w:t xml:space="preserve">Robert Lensink, </w:t>
      </w:r>
      <w:smartTag w:uri="urn:schemas-microsoft-com:office:smarttags" w:element="PlaceType">
        <w:r>
          <w:t>University</w:t>
        </w:r>
      </w:smartTag>
      <w:r>
        <w:t xml:space="preserve"> of </w:t>
      </w:r>
      <w:smartTag w:uri="urn:schemas-microsoft-com:office:smarttags" w:element="PlaceName">
        <w:r>
          <w:t>Groningen</w:t>
        </w:r>
      </w:smartTag>
      <w:r>
        <w:t xml:space="preserve">, The </w:t>
      </w:r>
      <w:smartTag w:uri="urn:schemas-microsoft-com:office:smarttags" w:element="place">
        <w:smartTag w:uri="urn:schemas-microsoft-com:office:smarttags" w:element="country-region">
          <w:r>
            <w:t>Netherlands</w:t>
          </w:r>
        </w:smartTag>
      </w:smartTag>
    </w:p>
    <w:p w:rsidR="00356CCA" w:rsidRPr="000A0D13" w:rsidRDefault="00356CCA" w:rsidP="005967A5">
      <w:pPr>
        <w:jc w:val="center"/>
        <w:rPr>
          <w:sz w:val="24"/>
        </w:rPr>
      </w:pPr>
      <w:r w:rsidRPr="000A0D13">
        <w:rPr>
          <w:sz w:val="24"/>
        </w:rPr>
        <w:t xml:space="preserve">Roy Mersland, </w:t>
      </w:r>
      <w:smartTag w:uri="urn:schemas-microsoft-com:office:smarttags" w:element="PlaceType">
        <w:r w:rsidRPr="006D30A1">
          <w:rPr>
            <w:sz w:val="24"/>
          </w:rPr>
          <w:t>University</w:t>
        </w:r>
      </w:smartTag>
      <w:r w:rsidR="00175D2B">
        <w:rPr>
          <w:sz w:val="24"/>
        </w:rPr>
        <w:t xml:space="preserve"> of </w:t>
      </w:r>
      <w:smartTag w:uri="urn:schemas-microsoft-com:office:smarttags" w:element="PlaceName">
        <w:r w:rsidR="00175D2B">
          <w:rPr>
            <w:sz w:val="24"/>
          </w:rPr>
          <w:t>Agder</w:t>
        </w:r>
      </w:smartTag>
      <w:r w:rsidRPr="006D30A1">
        <w:rPr>
          <w:sz w:val="24"/>
        </w:rPr>
        <w:t xml:space="preserve">, </w:t>
      </w:r>
      <w:smartTag w:uri="urn:schemas-microsoft-com:office:smarttags" w:element="place">
        <w:smartTag w:uri="urn:schemas-microsoft-com:office:smarttags" w:element="City">
          <w:r w:rsidRPr="006D30A1">
            <w:rPr>
              <w:sz w:val="24"/>
            </w:rPr>
            <w:t>Kristiansand</w:t>
          </w:r>
        </w:smartTag>
        <w:r w:rsidRPr="006D30A1">
          <w:rPr>
            <w:sz w:val="24"/>
          </w:rPr>
          <w:t xml:space="preserve">, </w:t>
        </w:r>
        <w:smartTag w:uri="urn:schemas-microsoft-com:office:smarttags" w:element="country-region">
          <w:r w:rsidRPr="006D30A1">
            <w:rPr>
              <w:sz w:val="24"/>
            </w:rPr>
            <w:t>Norway</w:t>
          </w:r>
        </w:smartTag>
      </w:smartTag>
    </w:p>
    <w:p w:rsidR="00356CCA" w:rsidRDefault="00356CCA" w:rsidP="005967A5">
      <w:pPr>
        <w:jc w:val="center"/>
      </w:pPr>
    </w:p>
    <w:p w:rsidR="00356CCA" w:rsidRDefault="00356CCA" w:rsidP="005967A5">
      <w:pPr>
        <w:jc w:val="center"/>
      </w:pPr>
    </w:p>
    <w:p w:rsidR="00356CCA" w:rsidRDefault="00C674B3" w:rsidP="005967A5">
      <w:pPr>
        <w:jc w:val="center"/>
      </w:pPr>
      <w:bookmarkStart w:id="0" w:name="_GoBack"/>
      <w:bookmarkEnd w:id="0"/>
      <w:r>
        <w:t>This paper is published as:</w:t>
      </w:r>
    </w:p>
    <w:p w:rsidR="00C674B3" w:rsidRDefault="00C674B3" w:rsidP="00C674B3">
      <w:pPr>
        <w:spacing w:after="200" w:line="276" w:lineRule="auto"/>
        <w:jc w:val="left"/>
      </w:pPr>
      <w:proofErr w:type="spellStart"/>
      <w:proofErr w:type="gramStart"/>
      <w:r w:rsidRPr="005B7863">
        <w:t>Galema</w:t>
      </w:r>
      <w:proofErr w:type="spellEnd"/>
      <w:r w:rsidRPr="005B7863">
        <w:t>, R., Lensink, R</w:t>
      </w:r>
      <w:r w:rsidRPr="00C674B3">
        <w:t>. &amp; Mersland, R.,</w:t>
      </w:r>
      <w:r w:rsidRPr="005B7863">
        <w:t xml:space="preserve"> (2012), “</w:t>
      </w:r>
      <w:r w:rsidRPr="005B7863">
        <w:rPr>
          <w:i/>
        </w:rPr>
        <w:t>Governance and Microfinance Institutions</w:t>
      </w:r>
      <w:r w:rsidRPr="005B7863">
        <w:t xml:space="preserve">,” In Barth J.R., Lin C. &amp; </w:t>
      </w:r>
      <w:proofErr w:type="spellStart"/>
      <w:r w:rsidRPr="005B7863">
        <w:t>Wihlborg</w:t>
      </w:r>
      <w:proofErr w:type="spellEnd"/>
      <w:r w:rsidRPr="005B7863">
        <w:t xml:space="preserve"> C. (Ed), Research handbook on International Banking and Governance.</w:t>
      </w:r>
      <w:proofErr w:type="gramEnd"/>
      <w:r w:rsidRPr="005B7863">
        <w:t xml:space="preserve"> </w:t>
      </w:r>
      <w:r>
        <w:t>Edward Elgar, UK.</w:t>
      </w:r>
    </w:p>
    <w:p w:rsidR="00C674B3" w:rsidRDefault="00C674B3" w:rsidP="005967A5">
      <w:pPr>
        <w:jc w:val="center"/>
      </w:pPr>
    </w:p>
    <w:p w:rsidR="00356CCA" w:rsidRDefault="00356CCA" w:rsidP="005967A5">
      <w:pPr>
        <w:jc w:val="center"/>
      </w:pPr>
    </w:p>
    <w:p w:rsidR="00356CCA" w:rsidRDefault="00356CCA" w:rsidP="006D30A1">
      <w:pPr>
        <w:jc w:val="left"/>
      </w:pPr>
    </w:p>
    <w:p w:rsidR="00356CCA" w:rsidRDefault="00356CCA" w:rsidP="006D30A1">
      <w:pPr>
        <w:jc w:val="left"/>
      </w:pPr>
    </w:p>
    <w:p w:rsidR="00356CCA" w:rsidRDefault="00356CCA" w:rsidP="006D30A1">
      <w:pPr>
        <w:jc w:val="left"/>
      </w:pPr>
    </w:p>
    <w:p w:rsidR="00356CCA" w:rsidRDefault="00356CCA" w:rsidP="006D30A1">
      <w:pPr>
        <w:jc w:val="left"/>
      </w:pPr>
    </w:p>
    <w:p w:rsidR="00356CCA" w:rsidRDefault="00356CCA" w:rsidP="006D30A1">
      <w:pPr>
        <w:jc w:val="left"/>
      </w:pPr>
      <w:r>
        <w:t>Please send all correspondence to Robert Lensink: Department of Economics, Econometrics and Finance, Faculty of Economics and Business, University of Groningen, 9700 AV Groningen, The Netherlands, email: b.w.lensink@rug.nl</w:t>
      </w:r>
    </w:p>
    <w:p w:rsidR="00356CCA" w:rsidRDefault="00356CCA" w:rsidP="005967A5">
      <w:pPr>
        <w:jc w:val="center"/>
      </w:pPr>
    </w:p>
    <w:p w:rsidR="00356CCA" w:rsidRPr="004A4F33" w:rsidRDefault="00356CCA" w:rsidP="004A4F33">
      <w:pPr>
        <w:rPr>
          <w:b/>
        </w:rPr>
      </w:pPr>
      <w:r>
        <w:br w:type="page"/>
      </w:r>
      <w:r w:rsidR="004A4F33" w:rsidRPr="004A4F33">
        <w:rPr>
          <w:b/>
        </w:rPr>
        <w:lastRenderedPageBreak/>
        <w:t xml:space="preserve">1. </w:t>
      </w:r>
      <w:r w:rsidRPr="004A4F33">
        <w:rPr>
          <w:b/>
        </w:rPr>
        <w:t>Introduction</w:t>
      </w:r>
    </w:p>
    <w:p w:rsidR="00356CCA" w:rsidRDefault="00356CCA" w:rsidP="004A4F33">
      <w:pPr>
        <w:pStyle w:val="Listeavsnitt1"/>
        <w:ind w:left="0"/>
      </w:pPr>
      <w:r>
        <w:t xml:space="preserve">During the last decade, much has been written on microfinance (see for recent overviews, </w:t>
      </w:r>
      <w:r w:rsidR="00F274B6">
        <w:t xml:space="preserve"> </w:t>
      </w:r>
      <w:r>
        <w:t>e.g</w:t>
      </w:r>
      <w:r w:rsidR="00F274B6">
        <w:t>.</w:t>
      </w:r>
      <w:r>
        <w:t xml:space="preserve"> Hermes and Lensink (2007, 2011) and Armendariz and Morduch (2010)). The literature on microfinance is diverse</w:t>
      </w:r>
      <w:r w:rsidR="00910192">
        <w:t xml:space="preserve">. It includes </w:t>
      </w:r>
      <w:r>
        <w:t>theoretical studies on</w:t>
      </w:r>
      <w:r w:rsidR="00910192">
        <w:t xml:space="preserve"> the design of optimal contracts and, more recently, the testing of these theories through </w:t>
      </w:r>
      <w:r>
        <w:t xml:space="preserve"> </w:t>
      </w:r>
      <w:r w:rsidR="00910192">
        <w:t>randomized control experiments. It also includes i</w:t>
      </w:r>
      <w:r>
        <w:t xml:space="preserve">mpact </w:t>
      </w:r>
      <w:r w:rsidR="00910192">
        <w:t>studies that try to find out whether microfinance measurably improves the lives of the poor.</w:t>
      </w:r>
      <w:r>
        <w:t xml:space="preserve"> </w:t>
      </w:r>
      <w:r w:rsidR="00910192">
        <w:t xml:space="preserve">Finally, there are </w:t>
      </w:r>
      <w:r>
        <w:t xml:space="preserve">macro studies </w:t>
      </w:r>
      <w:r w:rsidR="00910192">
        <w:t>that study how MFIs are effected by the macroeconomic environment in which they operate and how they</w:t>
      </w:r>
      <w:r w:rsidR="00A6093C">
        <w:t xml:space="preserve"> trade-off outreach and financial sustainability.</w:t>
      </w:r>
      <w:r>
        <w:t xml:space="preserve"> </w:t>
      </w:r>
      <w:r w:rsidR="00A6093C">
        <w:t>Yet, c</w:t>
      </w:r>
      <w:r>
        <w:t xml:space="preserve">omparatively little has been written on the corporate governance </w:t>
      </w:r>
      <w:r w:rsidR="00A6093C">
        <w:t>of</w:t>
      </w:r>
      <w:r>
        <w:t xml:space="preserve"> microfinance institutions (MFIs)</w:t>
      </w:r>
      <w:r w:rsidR="00A6093C">
        <w:t xml:space="preserve">; most of </w:t>
      </w:r>
      <w:r>
        <w:t xml:space="preserve">the existing studies </w:t>
      </w:r>
      <w:r w:rsidR="00F274B6">
        <w:t xml:space="preserve">on </w:t>
      </w:r>
      <w:r w:rsidR="00A6093C">
        <w:t xml:space="preserve">MFI governance </w:t>
      </w:r>
      <w:r>
        <w:t>consist of consultancy reports</w:t>
      </w:r>
      <w:r w:rsidR="00A6093C">
        <w:t xml:space="preserve"> that</w:t>
      </w:r>
      <w:r>
        <w:t xml:space="preserve"> assume that MFIs are comparable to </w:t>
      </w:r>
      <w:r w:rsidR="00A6093C">
        <w:t>regular</w:t>
      </w:r>
      <w:r>
        <w:t xml:space="preserve"> commercial firms (Labie and Mersland, 2011). </w:t>
      </w:r>
    </w:p>
    <w:p w:rsidR="00356CCA" w:rsidRDefault="00356CCA" w:rsidP="00F75038">
      <w:pPr>
        <w:pStyle w:val="Listeavsnitt1"/>
        <w:ind w:left="0"/>
        <w:jc w:val="left"/>
      </w:pPr>
    </w:p>
    <w:p w:rsidR="00FD40F9" w:rsidRDefault="00356CCA" w:rsidP="004A4F33">
      <w:pPr>
        <w:pStyle w:val="Listeavsnitt1"/>
        <w:ind w:left="0"/>
      </w:pPr>
      <w:r>
        <w:t xml:space="preserve">The lack of scientific studies on </w:t>
      </w:r>
      <w:r w:rsidR="00A6093C">
        <w:t xml:space="preserve">microfinance </w:t>
      </w:r>
      <w:r>
        <w:t xml:space="preserve">governance is unfortunate, </w:t>
      </w:r>
      <w:r w:rsidR="00A6093C">
        <w:t xml:space="preserve">because a number of </w:t>
      </w:r>
      <w:r>
        <w:t xml:space="preserve">recent </w:t>
      </w:r>
      <w:r w:rsidR="00A6093C">
        <w:t xml:space="preserve">MFI </w:t>
      </w:r>
      <w:r>
        <w:t xml:space="preserve">failures </w:t>
      </w:r>
      <w:r w:rsidR="00A6093C">
        <w:t xml:space="preserve">have been attributed to </w:t>
      </w:r>
      <w:r>
        <w:t xml:space="preserve">bad governance systems. Until recently, researchers and policymakers </w:t>
      </w:r>
      <w:r w:rsidR="00A6093C">
        <w:t xml:space="preserve">considered </w:t>
      </w:r>
      <w:r w:rsidRPr="00666F77">
        <w:t xml:space="preserve">microcredit </w:t>
      </w:r>
      <w:r w:rsidR="00A6093C">
        <w:t xml:space="preserve">as </w:t>
      </w:r>
      <w:r w:rsidRPr="00666F77">
        <w:t xml:space="preserve">an important instrument to lift poor people, especially women, out of poverty. </w:t>
      </w:r>
      <w:r>
        <w:t>An enormous amount of anecdotes and simple empirical analyses support the</w:t>
      </w:r>
      <w:r w:rsidRPr="00666F77">
        <w:t xml:space="preserve"> positive </w:t>
      </w:r>
      <w:r>
        <w:t xml:space="preserve">view on </w:t>
      </w:r>
      <w:r w:rsidRPr="00666F77">
        <w:t xml:space="preserve">microcredit. </w:t>
      </w:r>
      <w:r>
        <w:t>P</w:t>
      </w:r>
      <w:r w:rsidRPr="004B37C8">
        <w:t xml:space="preserve">olicy makers </w:t>
      </w:r>
      <w:r>
        <w:t xml:space="preserve">became almost euphoric about the possible role of microfinance </w:t>
      </w:r>
      <w:r w:rsidR="00542076">
        <w:t xml:space="preserve">as a development instrument </w:t>
      </w:r>
      <w:r>
        <w:t xml:space="preserve">after </w:t>
      </w:r>
      <w:r w:rsidRPr="004B37C8">
        <w:t>Mohammad Yunus received the Nobel Peace Prize in 2006.</w:t>
      </w:r>
      <w:r w:rsidR="00A6093C">
        <w:t xml:space="preserve"> Yet</w:t>
      </w:r>
      <w:r>
        <w:t xml:space="preserve">, </w:t>
      </w:r>
      <w:r w:rsidR="00D00E31">
        <w:t xml:space="preserve">recently the rosy view of </w:t>
      </w:r>
      <w:r>
        <w:t>microfinance</w:t>
      </w:r>
      <w:r w:rsidR="00D00E31">
        <w:t xml:space="preserve"> has started to come to an end</w:t>
      </w:r>
      <w:r>
        <w:t xml:space="preserve">, especially after stories about loan-shark-style </w:t>
      </w:r>
      <w:r w:rsidR="00EF5E6F">
        <w:t xml:space="preserve">MFIs </w:t>
      </w:r>
      <w:r>
        <w:t xml:space="preserve">who have driven borrowers to suicide in the Indian state of Andhra Pradesh. Bateman (2010) even suggests that microfinance </w:t>
      </w:r>
      <w:r w:rsidR="00D00E31">
        <w:t xml:space="preserve">is the </w:t>
      </w:r>
      <w:r>
        <w:t xml:space="preserve">main obstacle to sustainable development. </w:t>
      </w:r>
      <w:r w:rsidR="00D00E31">
        <w:t xml:space="preserve">To explain why some MFIs are successful where others fail, we need a better understanding of governance issues. These include </w:t>
      </w:r>
      <w:r w:rsidR="00127C80">
        <w:t xml:space="preserve">ownership and board-level </w:t>
      </w:r>
      <w:r w:rsidR="00D00E31">
        <w:t>decision</w:t>
      </w:r>
      <w:r w:rsidR="00127C80">
        <w:t xml:space="preserve">s on important areas like </w:t>
      </w:r>
      <w:r>
        <w:t>staff incenti</w:t>
      </w:r>
      <w:r w:rsidR="00D00E31">
        <w:t>ves and</w:t>
      </w:r>
      <w:r w:rsidR="00127C80">
        <w:t xml:space="preserve"> attracting funding</w:t>
      </w:r>
      <w:r>
        <w:t>. G</w:t>
      </w:r>
      <w:r w:rsidRPr="006E6EAB">
        <w:t xml:space="preserve">ood governance </w:t>
      </w:r>
      <w:r>
        <w:t xml:space="preserve">is important since it can </w:t>
      </w:r>
      <w:r w:rsidRPr="006E6EAB">
        <w:t>support the viability of MFI operations in terms of both performance and risk management.</w:t>
      </w:r>
      <w:r>
        <w:t xml:space="preserve"> </w:t>
      </w:r>
    </w:p>
    <w:p w:rsidR="00FD40F9" w:rsidRDefault="00FD40F9" w:rsidP="004A4F33">
      <w:pPr>
        <w:pStyle w:val="Listeavsnitt1"/>
        <w:ind w:left="0"/>
      </w:pPr>
    </w:p>
    <w:p w:rsidR="0073601D" w:rsidRDefault="00D04122" w:rsidP="0073601D">
      <w:pPr>
        <w:pStyle w:val="Listeavsnitt1"/>
        <w:ind w:left="0"/>
      </w:pPr>
      <w:r>
        <w:t>According to agency theory</w:t>
      </w:r>
      <w:r w:rsidR="00FD40F9">
        <w:t xml:space="preserve">, microfinance governance </w:t>
      </w:r>
      <w:r>
        <w:t xml:space="preserve">should </w:t>
      </w:r>
      <w:r w:rsidR="00FD40F9">
        <w:t>deal with ways in which suppliers of fin</w:t>
      </w:r>
      <w:r>
        <w:t xml:space="preserve">ance–donors </w:t>
      </w:r>
      <w:r w:rsidR="00EF5E6F">
        <w:t>and investors–en</w:t>
      </w:r>
      <w:r w:rsidR="00FD40F9">
        <w:t xml:space="preserve">sure that they get a return on investment and the MFI reaches its </w:t>
      </w:r>
      <w:r w:rsidR="00FD40F9">
        <w:lastRenderedPageBreak/>
        <w:t>social mission.</w:t>
      </w:r>
      <w:r w:rsidR="00BB45EF">
        <w:t xml:space="preserve"> In ma</w:t>
      </w:r>
      <w:r>
        <w:t>ny organizations, which include</w:t>
      </w:r>
      <w:r w:rsidR="00BB45EF">
        <w:t xml:space="preserve"> most MFIs, there is a separation of ownership and</w:t>
      </w:r>
      <w:r w:rsidR="00DA37F0">
        <w:t xml:space="preserve"> control. Even though nonprofit MFIs</w:t>
      </w:r>
      <w:r w:rsidR="00BB45EF">
        <w:t xml:space="preserve"> have no owners, </w:t>
      </w:r>
      <w:r w:rsidR="00B77402">
        <w:t xml:space="preserve">in almost all MFIs </w:t>
      </w:r>
      <w:r w:rsidR="00BB45EF">
        <w:t>the suppliers of funds are different from those who manage the MFI. Because managers and suppliers of funds have different interests and there is information asymme</w:t>
      </w:r>
      <w:r w:rsidR="00F61C7F">
        <w:t xml:space="preserve">try, there are agency problems and thus a need to control managers. </w:t>
      </w:r>
      <w:r w:rsidR="00E91AE4">
        <w:t xml:space="preserve">The main function of governance is to control self-interested managers to solve agency problems. </w:t>
      </w:r>
      <w:r w:rsidR="00F61C7F">
        <w:t xml:space="preserve">When </w:t>
      </w:r>
      <w:r>
        <w:t>sufficient oversight is lacking</w:t>
      </w:r>
      <w:r w:rsidR="00F61C7F">
        <w:t xml:space="preserve">, managers are likely to enrich themselves or pursue other self-interest at the MFI’s expense. This is illustrated by the collapse of the Colombian Corposol, where a powerful CEO that did not receive proper board oversight played a large role in Corposol’s eventual </w:t>
      </w:r>
      <w:r w:rsidR="00DA37F0">
        <w:t xml:space="preserve">bankruptcy </w:t>
      </w:r>
      <w:r w:rsidR="004D219D">
        <w:t>(Steege, 1998)</w:t>
      </w:r>
      <w:r w:rsidR="00F61C7F">
        <w:t xml:space="preserve">. </w:t>
      </w:r>
    </w:p>
    <w:p w:rsidR="0073601D" w:rsidRDefault="0073601D" w:rsidP="0073601D">
      <w:pPr>
        <w:pStyle w:val="Listeavsnitt1"/>
        <w:ind w:left="0"/>
      </w:pPr>
    </w:p>
    <w:p w:rsidR="00087CFA" w:rsidRDefault="00952F0A" w:rsidP="00FD40F9">
      <w:pPr>
        <w:pStyle w:val="Listeavsnitt1"/>
        <w:ind w:left="0"/>
      </w:pPr>
      <w:r>
        <w:t>Some MFIs have the legal status of banks, which makes their agency problems very comparable to those of banks</w:t>
      </w:r>
      <w:r w:rsidR="00E07753">
        <w:t xml:space="preserve">. </w:t>
      </w:r>
      <w:r w:rsidR="00E60F95">
        <w:t xml:space="preserve">Oddly, very little theoretical governance literature has been written specifically for banks. Instead, corporate governance perspectives are usually directly applied to banks, which is unfortunate for banks face very specific governance problems (Macey and O’Hara, 2003). </w:t>
      </w:r>
      <w:r w:rsidR="00913574">
        <w:t>A problem with bank governance is that deposit insurance and capital controls give much stronger incentives to shareholders to push bank</w:t>
      </w:r>
      <w:r w:rsidR="00E60F95">
        <w:t>s</w:t>
      </w:r>
      <w:r w:rsidR="00913574">
        <w:t xml:space="preserve"> to take more risk (Laeven and Levine, 2009). Deposit insurance removes the incentive for depositors to push the bank to take less risk and banks tend</w:t>
      </w:r>
      <w:r w:rsidR="00E60F95">
        <w:t xml:space="preserve"> to hold little</w:t>
      </w:r>
      <w:r w:rsidR="00913574">
        <w:t xml:space="preserve"> debt such that there are no other fixed claimants that incentivize the bank to take less risk.  </w:t>
      </w:r>
      <w:r w:rsidR="00BB7ACD">
        <w:t>Most MFIs do not have the legal status of banks</w:t>
      </w:r>
      <w:r w:rsidR="004C5DF5">
        <w:t xml:space="preserve"> and are typically unregulated</w:t>
      </w:r>
      <w:r w:rsidR="00BB7ACD">
        <w:t>, so they are not allowed to take deposits. Instead, they rely much more on other sources of funds like commercial borrowing, noncommercial borrowing and donations</w:t>
      </w:r>
      <w:r w:rsidR="004C5DF5">
        <w:t xml:space="preserve"> (Cull et al., 2009)</w:t>
      </w:r>
      <w:r w:rsidR="00BB7ACD">
        <w:t xml:space="preserve">. </w:t>
      </w:r>
      <w:r w:rsidR="004C5DF5">
        <w:t xml:space="preserve">A greater dependence on debt holders and a lack of deposits make </w:t>
      </w:r>
      <w:r w:rsidR="0052409A">
        <w:t xml:space="preserve">unregulated </w:t>
      </w:r>
      <w:r w:rsidR="004C5DF5">
        <w:t xml:space="preserve">MFIs more similar to corporations in which debt holders prevent an organization from taking too much risk. </w:t>
      </w:r>
      <w:r w:rsidR="00E60F95">
        <w:t xml:space="preserve">So, depending on their funding sources, MFIs face different governance problems. </w:t>
      </w:r>
    </w:p>
    <w:p w:rsidR="00087CFA" w:rsidRDefault="00087CFA" w:rsidP="00FD40F9">
      <w:pPr>
        <w:pStyle w:val="Listeavsnitt1"/>
        <w:ind w:left="0"/>
      </w:pPr>
    </w:p>
    <w:p w:rsidR="00FD40F9" w:rsidRDefault="00FD40F9" w:rsidP="00FD40F9">
      <w:pPr>
        <w:pStyle w:val="Listeavsnitt1"/>
        <w:ind w:left="0"/>
      </w:pPr>
      <w:r>
        <w:t xml:space="preserve">According to a more broad definition of </w:t>
      </w:r>
      <w:r w:rsidR="008E7A64">
        <w:t>governance</w:t>
      </w:r>
      <w:r>
        <w:t xml:space="preserve">, microfinance governance is the determination of how an MFI uses its resources and resolves conflicts of interest </w:t>
      </w:r>
      <w:r w:rsidR="00FA7DD0">
        <w:t xml:space="preserve">of </w:t>
      </w:r>
      <w:r w:rsidR="008E7A64">
        <w:t xml:space="preserve">the </w:t>
      </w:r>
      <w:r w:rsidR="00FA7DD0">
        <w:t xml:space="preserve">organization’s </w:t>
      </w:r>
      <w:r w:rsidR="008E7A64">
        <w:t>myriad participants (Daily and Cannella, 2003)</w:t>
      </w:r>
      <w:r>
        <w:t xml:space="preserve">. </w:t>
      </w:r>
      <w:r w:rsidR="000E4CF2">
        <w:t xml:space="preserve">Good directors can </w:t>
      </w:r>
      <w:r w:rsidR="0052409A">
        <w:t>bring valuable r</w:t>
      </w:r>
      <w:r w:rsidR="00D04122">
        <w:t xml:space="preserve">esources to the firm and </w:t>
      </w:r>
      <w:r w:rsidR="00D04122">
        <w:lastRenderedPageBreak/>
        <w:t xml:space="preserve">advice </w:t>
      </w:r>
      <w:r w:rsidR="0052409A">
        <w:t>and council CEOs. F</w:t>
      </w:r>
      <w:r w:rsidR="00EF5E6F">
        <w:t xml:space="preserve">or instance, </w:t>
      </w:r>
      <w:r w:rsidR="0052409A">
        <w:t xml:space="preserve">they can </w:t>
      </w:r>
      <w:r w:rsidR="00EF5E6F">
        <w:t xml:space="preserve">provide </w:t>
      </w:r>
      <w:r w:rsidR="0052409A">
        <w:t xml:space="preserve">experience from other MFIs, banking knowledge and a </w:t>
      </w:r>
      <w:r w:rsidR="000E4CF2">
        <w:t xml:space="preserve">network of possible donors. </w:t>
      </w:r>
      <w:r w:rsidR="002C5010">
        <w:t xml:space="preserve">The initial survival of non-profits depends very much on whether they can attract sufficient donations. In this process the connections of board members to donors </w:t>
      </w:r>
      <w:r w:rsidR="00E91AE4">
        <w:t>could be an important asset</w:t>
      </w:r>
      <w:r w:rsidR="002C5010">
        <w:t xml:space="preserve">. </w:t>
      </w:r>
      <w:r w:rsidR="000E4CF2">
        <w:t>So, i</w:t>
      </w:r>
      <w:r w:rsidR="008E7A64">
        <w:t>nstead of a sole focus on the</w:t>
      </w:r>
      <w:r w:rsidR="00BE0377">
        <w:t xml:space="preserve"> </w:t>
      </w:r>
      <w:r w:rsidR="00EF5E6F">
        <w:t xml:space="preserve">board’s task </w:t>
      </w:r>
      <w:r w:rsidR="00D04122">
        <w:t xml:space="preserve">of controlling </w:t>
      </w:r>
      <w:r w:rsidR="00BE0377">
        <w:t xml:space="preserve"> executive</w:t>
      </w:r>
      <w:r w:rsidR="00EF5E6F">
        <w:t>s</w:t>
      </w:r>
      <w:r w:rsidR="000E4CF2">
        <w:t>, other role</w:t>
      </w:r>
      <w:r w:rsidR="00BE0377">
        <w:t>s of the board deserve investigation as well.</w:t>
      </w:r>
      <w:r w:rsidR="00FA7DD0">
        <w:t xml:space="preserve"> Such a broad definition could be more appropriate to </w:t>
      </w:r>
      <w:r w:rsidR="00E91AE4">
        <w:t>MFIs</w:t>
      </w:r>
      <w:r w:rsidR="00FA7DD0">
        <w:t xml:space="preserve"> because </w:t>
      </w:r>
      <w:r w:rsidR="00E91AE4">
        <w:t xml:space="preserve">they have </w:t>
      </w:r>
      <w:r w:rsidR="00FA7DD0">
        <w:t xml:space="preserve">both financial and social objectives. Setting a proper social mission </w:t>
      </w:r>
      <w:r w:rsidR="0052409A">
        <w:t xml:space="preserve">and achieving it </w:t>
      </w:r>
      <w:r w:rsidR="00FA7DD0">
        <w:t>is not as clear-cut as maximizing profits</w:t>
      </w:r>
      <w:r w:rsidR="0052409A">
        <w:t xml:space="preserve">, but involves other stakeholder’s active </w:t>
      </w:r>
      <w:r w:rsidR="00FA7DD0">
        <w:t>involve</w:t>
      </w:r>
      <w:r w:rsidR="0052409A">
        <w:t>ment in the decision-making process</w:t>
      </w:r>
      <w:r w:rsidR="00FA7DD0">
        <w:t xml:space="preserve">. </w:t>
      </w:r>
    </w:p>
    <w:p w:rsidR="00A063AF" w:rsidRDefault="00A063AF" w:rsidP="004A4F33">
      <w:pPr>
        <w:pStyle w:val="Listeavsnitt1"/>
        <w:ind w:left="0"/>
      </w:pPr>
    </w:p>
    <w:p w:rsidR="002C5010" w:rsidRDefault="002C5010" w:rsidP="004A4F33">
      <w:pPr>
        <w:pStyle w:val="Listeavsnitt1"/>
        <w:ind w:left="0"/>
      </w:pPr>
      <w:r>
        <w:t>I</w:t>
      </w:r>
      <w:r w:rsidR="00AF22C8">
        <w:t xml:space="preserve">n non-profit MFIs that have the largest focus on social objectives, other stakeholders have much more influence. </w:t>
      </w:r>
      <w:r w:rsidR="00A063AF">
        <w:t xml:space="preserve">Glaeser (2003) </w:t>
      </w:r>
      <w:r w:rsidR="00AF22C8">
        <w:t>shows that d</w:t>
      </w:r>
      <w:r w:rsidR="00AE4860">
        <w:t xml:space="preserve">ue to the fact that non-profit governance is weak, workers and donors have much more influence. Nonprofits </w:t>
      </w:r>
      <w:r w:rsidR="00F374B0">
        <w:t>have boards but these boards are ultimately not accountable and they are very difficult to incen</w:t>
      </w:r>
      <w:r w:rsidR="00D80653">
        <w:t>tivize because of their opaquely</w:t>
      </w:r>
      <w:r w:rsidR="00F374B0">
        <w:t xml:space="preserve"> defined mission and lack of stock ownership by managers. The results is that the CEO and the board have an almost unparalleled degree of autonomy. </w:t>
      </w:r>
      <w:r w:rsidR="00D80DF4">
        <w:t>One the one hand this calls for more board oversight</w:t>
      </w:r>
      <w:r w:rsidR="006B02A1">
        <w:t xml:space="preserve"> and incentive structures that align the board’s interests with those of donors and debt holders</w:t>
      </w:r>
      <w:r w:rsidR="00D80DF4">
        <w:t xml:space="preserve">. On the other hand, given that many nonprofits </w:t>
      </w:r>
      <w:r w:rsidR="006B02A1">
        <w:t xml:space="preserve">operate </w:t>
      </w:r>
      <w:r w:rsidR="00D80DF4">
        <w:t>with very weak governance structures</w:t>
      </w:r>
      <w:r w:rsidR="006B02A1">
        <w:t xml:space="preserve"> without managers appropriating all the resources</w:t>
      </w:r>
      <w:r w:rsidR="00D80DF4">
        <w:t xml:space="preserve">, suggests that there are other factors that explain their success. It would be worthwhile to investigate what determines MFI success, instead of a sole focus on incentive issues. It is likely that managers and board members of nonprofits are very much intrinsically and socially motivated. </w:t>
      </w:r>
      <w:r w:rsidR="006B02A1">
        <w:t>To the extent that this is key to</w:t>
      </w:r>
      <w:r w:rsidR="00E95457">
        <w:t xml:space="preserve"> an</w:t>
      </w:r>
      <w:r w:rsidR="006B02A1">
        <w:t xml:space="preserve"> MFI</w:t>
      </w:r>
      <w:r w:rsidR="00E95457">
        <w:t>’s</w:t>
      </w:r>
      <w:r w:rsidR="006B02A1">
        <w:t xml:space="preserve"> success, giving too much incentives could undermine people’s natural motivation. Therefore, a more broad view on governance that includes the resources the board provides to the MFI could provide additional insights to what extent microfinance governance </w:t>
      </w:r>
      <w:r w:rsidR="007754CF">
        <w:t>w</w:t>
      </w:r>
      <w:r w:rsidR="006B02A1">
        <w:t xml:space="preserve">ould benefit from incentive structures. </w:t>
      </w:r>
    </w:p>
    <w:p w:rsidR="002C5010" w:rsidRDefault="002C5010" w:rsidP="004A4F33">
      <w:pPr>
        <w:pStyle w:val="Listeavsnitt1"/>
        <w:ind w:left="0"/>
      </w:pPr>
    </w:p>
    <w:p w:rsidR="000971CB" w:rsidRDefault="00F357E6" w:rsidP="004A4F33">
      <w:pPr>
        <w:pStyle w:val="Listeavsnitt1"/>
        <w:ind w:left="0"/>
      </w:pPr>
      <w:r>
        <w:t xml:space="preserve">The aim of this chapter is to review the microfinance performance and governance literature and provide an agenda for future research. </w:t>
      </w:r>
      <w:r w:rsidR="004A4F33">
        <w:t>I</w:t>
      </w:r>
      <w:r w:rsidR="009E4519">
        <w:t>n r</w:t>
      </w:r>
      <w:r w:rsidR="00987122">
        <w:t>eviewing the microfinance governance literature</w:t>
      </w:r>
      <w:r w:rsidR="004A4F33">
        <w:t xml:space="preserve"> two issues stand out</w:t>
      </w:r>
      <w:r w:rsidR="009E4519">
        <w:t xml:space="preserve">: </w:t>
      </w:r>
      <w:r w:rsidR="00987122">
        <w:t xml:space="preserve">First, most papers concentrate on the relation between corporate governance and financial </w:t>
      </w:r>
      <w:r w:rsidR="00987122">
        <w:lastRenderedPageBreak/>
        <w:t xml:space="preserve">and social performance. </w:t>
      </w:r>
      <w:r w:rsidR="000971CB">
        <w:t xml:space="preserve">Section 2 provides an overview of this literature. </w:t>
      </w:r>
      <w:r w:rsidR="00284845">
        <w:t xml:space="preserve">It also introduces the different organizational types, which all have a very different ownership structure and performance. </w:t>
      </w:r>
      <w:r w:rsidR="000971CB">
        <w:t xml:space="preserve">Although </w:t>
      </w:r>
      <w:r w:rsidR="00284845">
        <w:t xml:space="preserve">MFI </w:t>
      </w:r>
      <w:r w:rsidR="00F63407">
        <w:t>performance</w:t>
      </w:r>
      <w:r w:rsidR="00284845">
        <w:t xml:space="preserve"> </w:t>
      </w:r>
      <w:r w:rsidR="000971CB">
        <w:t xml:space="preserve">literature is </w:t>
      </w:r>
      <w:r w:rsidR="00987122">
        <w:t>interesting and important</w:t>
      </w:r>
      <w:r w:rsidR="000971CB">
        <w:t>,</w:t>
      </w:r>
      <w:r w:rsidR="00987122">
        <w:t xml:space="preserve"> at the same it covers only </w:t>
      </w:r>
      <w:r w:rsidR="000971CB">
        <w:t xml:space="preserve">a limited number of </w:t>
      </w:r>
      <w:r w:rsidR="00822141">
        <w:t>questions related to microfinance governance</w:t>
      </w:r>
      <w:r w:rsidR="00C63EC7">
        <w:t>.</w:t>
      </w:r>
      <w:r w:rsidR="00822141">
        <w:t xml:space="preserve"> </w:t>
      </w:r>
      <w:r w:rsidR="00C63EC7">
        <w:t>W</w:t>
      </w:r>
      <w:r w:rsidR="00C72A85">
        <w:t>ith the exception of Galema et al. (2011)</w:t>
      </w:r>
      <w:r w:rsidR="00054F90">
        <w:t xml:space="preserve"> and Galema (2011)</w:t>
      </w:r>
      <w:r w:rsidR="00C72A85">
        <w:t xml:space="preserve">, </w:t>
      </w:r>
      <w:r w:rsidR="00822141">
        <w:t xml:space="preserve">issues related to governance and risk management are virtually uncovered. </w:t>
      </w:r>
      <w:r w:rsidR="000971CB">
        <w:t>Therefore, section 3 deals with governance and</w:t>
      </w:r>
      <w:r w:rsidR="00B67DAC">
        <w:t xml:space="preserve"> MFI risk taking. It presents an </w:t>
      </w:r>
      <w:r w:rsidR="000971CB">
        <w:t>example</w:t>
      </w:r>
      <w:r w:rsidR="00B67DAC">
        <w:t xml:space="preserve"> of</w:t>
      </w:r>
      <w:r w:rsidR="000971CB">
        <w:t xml:space="preserve"> </w:t>
      </w:r>
      <w:r w:rsidR="00B67DAC">
        <w:t xml:space="preserve">an empirical </w:t>
      </w:r>
      <w:r w:rsidR="000971CB">
        <w:t xml:space="preserve">study that </w:t>
      </w:r>
      <w:r w:rsidR="00B67DAC">
        <w:t xml:space="preserve">links governance with MFI risk and </w:t>
      </w:r>
      <w:r w:rsidR="000971CB">
        <w:t xml:space="preserve">gives suggestions for future research in this area. </w:t>
      </w:r>
      <w:r w:rsidR="00B67DAC">
        <w:t xml:space="preserve">In the empirical study </w:t>
      </w:r>
      <w:r w:rsidR="004E6B85">
        <w:t xml:space="preserve">we try to find out whether </w:t>
      </w:r>
      <w:r w:rsidR="00B67DAC">
        <w:t xml:space="preserve">larger boards make less extreme decisions by testing whether </w:t>
      </w:r>
      <w:r w:rsidR="00C63EC7">
        <w:t xml:space="preserve">the larger boards </w:t>
      </w:r>
      <w:r w:rsidR="004E6B85">
        <w:t xml:space="preserve">are associated with less </w:t>
      </w:r>
      <w:r w:rsidR="00B67DAC">
        <w:t xml:space="preserve">return </w:t>
      </w:r>
      <w:r w:rsidR="00C63EC7">
        <w:t>variability</w:t>
      </w:r>
      <w:r w:rsidR="00B67DAC">
        <w:t xml:space="preserve"> </w:t>
      </w:r>
      <w:r w:rsidR="00C63EC7">
        <w:t>(Cheng, 2008).</w:t>
      </w:r>
    </w:p>
    <w:p w:rsidR="000971CB" w:rsidRDefault="000971CB" w:rsidP="004A4F33">
      <w:pPr>
        <w:pStyle w:val="Listeavsnitt1"/>
        <w:ind w:left="0"/>
      </w:pPr>
    </w:p>
    <w:p w:rsidR="00DF2421" w:rsidRDefault="00822141" w:rsidP="004A4F33">
      <w:pPr>
        <w:pStyle w:val="Listeavsnitt1"/>
        <w:ind w:left="0"/>
      </w:pPr>
      <w:r>
        <w:t xml:space="preserve">Second, </w:t>
      </w:r>
      <w:r w:rsidR="00CA39D8">
        <w:t xml:space="preserve">empirical </w:t>
      </w:r>
      <w:r>
        <w:t>microfinance governance studies</w:t>
      </w:r>
      <w:r w:rsidR="00147940">
        <w:t xml:space="preserve"> are </w:t>
      </w:r>
      <w:r w:rsidR="00CA39D8">
        <w:t xml:space="preserve">guided by </w:t>
      </w:r>
      <w:r w:rsidR="00DF2421">
        <w:t>agency theories</w:t>
      </w:r>
      <w:r w:rsidR="00CA39D8">
        <w:t xml:space="preserve"> </w:t>
      </w:r>
      <w:r w:rsidR="00147940">
        <w:t xml:space="preserve">developed for corporations </w:t>
      </w:r>
      <w:r w:rsidR="00DF2421">
        <w:t xml:space="preserve">and western </w:t>
      </w:r>
      <w:r w:rsidR="00147940">
        <w:t xml:space="preserve">nongovernmental organizations. </w:t>
      </w:r>
      <w:r w:rsidR="00DF2421">
        <w:t xml:space="preserve">Corporations maximize profits, whereas MFIs have dual objectives, which theories on optimal incentive structures have to take into account. </w:t>
      </w:r>
      <w:r w:rsidR="00A83F90">
        <w:t xml:space="preserve">Within the microfinance industry, there are many different types of MFIs ranging from the most commercial banks to the least commercial NGO. They all decide on a different trade-off between their </w:t>
      </w:r>
      <w:r w:rsidR="00490809">
        <w:t xml:space="preserve">financial and social objectives. </w:t>
      </w:r>
      <w:r w:rsidR="00A83F90">
        <w:t xml:space="preserve">Moreover, </w:t>
      </w:r>
      <w:r w:rsidR="00490809">
        <w:t xml:space="preserve">one-size-fits-all governance arrangements do not exist. MFIs’ </w:t>
      </w:r>
      <w:r w:rsidR="00A83F90">
        <w:t>funding structures are very different, which creates a very heterogeneous set of governance problems.</w:t>
      </w:r>
      <w:r w:rsidR="00490809">
        <w:t xml:space="preserve"> Section 4 pleas for new theory on how optimal incentives throughout the institution can stimulate the MFI to reach its dual objectives, and shows </w:t>
      </w:r>
      <w:r w:rsidR="00A83F90">
        <w:t xml:space="preserve">how different funding structures create different governance problems. </w:t>
      </w:r>
    </w:p>
    <w:p w:rsidR="00AE0C06" w:rsidRDefault="00AE0C06" w:rsidP="00A83F90">
      <w:pPr>
        <w:pStyle w:val="Listeavsnitt1"/>
        <w:ind w:left="0"/>
        <w:jc w:val="left"/>
      </w:pPr>
    </w:p>
    <w:p w:rsidR="00356CCA" w:rsidRPr="006932D6" w:rsidRDefault="004A4F33" w:rsidP="004A4F33">
      <w:pPr>
        <w:pStyle w:val="Listeavsnitt1"/>
        <w:ind w:left="0"/>
        <w:jc w:val="left"/>
        <w:rPr>
          <w:b/>
        </w:rPr>
      </w:pPr>
      <w:r>
        <w:rPr>
          <w:b/>
        </w:rPr>
        <w:t xml:space="preserve">2. </w:t>
      </w:r>
      <w:r w:rsidR="00356CCA">
        <w:rPr>
          <w:b/>
        </w:rPr>
        <w:t>Governance</w:t>
      </w:r>
      <w:r w:rsidR="00AC4700">
        <w:rPr>
          <w:b/>
        </w:rPr>
        <w:t>, ownership</w:t>
      </w:r>
      <w:r w:rsidR="00356CCA">
        <w:rPr>
          <w:b/>
        </w:rPr>
        <w:t xml:space="preserve">  and </w:t>
      </w:r>
      <w:r w:rsidR="00356CCA" w:rsidRPr="006932D6">
        <w:rPr>
          <w:b/>
        </w:rPr>
        <w:t>Microfinance Performance</w:t>
      </w:r>
      <w:r w:rsidR="00356CCA">
        <w:rPr>
          <w:b/>
        </w:rPr>
        <w:t>: a survey</w:t>
      </w:r>
    </w:p>
    <w:p w:rsidR="00356CCA" w:rsidRPr="005239E0" w:rsidRDefault="00356CCA" w:rsidP="00F357E6">
      <w:pPr>
        <w:pStyle w:val="Listeavsnitt1"/>
        <w:ind w:left="0"/>
        <w:rPr>
          <w:rFonts w:ascii="Sylfaen" w:hAnsi="Sylfaen"/>
          <w:color w:val="000000"/>
        </w:rPr>
      </w:pPr>
      <w:r>
        <w:t xml:space="preserve">An important topic in the microfinance governance literature deals with the question whether </w:t>
      </w:r>
      <w:r w:rsidRPr="006932D6">
        <w:t xml:space="preserve">the type of ownership </w:t>
      </w:r>
      <w:r>
        <w:t xml:space="preserve">of MFIs explains the performance. </w:t>
      </w:r>
      <w:r w:rsidRPr="006932D6">
        <w:t>The microfinance sector is characterized by various organization types, such as banks, Non-Bank Financial Institutions (NBFI), credit unions and non-Governmental Organizations (NGO). The category banks include</w:t>
      </w:r>
      <w:r w:rsidR="00775FC3">
        <w:t>s</w:t>
      </w:r>
      <w:r w:rsidRPr="006932D6">
        <w:t xml:space="preserve"> rural banks and banks which can be both publicly owned or privately owned</w:t>
      </w:r>
      <w:r>
        <w:t xml:space="preserve"> (Mersland, 2009)</w:t>
      </w:r>
      <w:r w:rsidRPr="006932D6">
        <w:t>.</w:t>
      </w:r>
      <w:r>
        <w:t xml:space="preserve"> </w:t>
      </w:r>
      <w:r w:rsidRPr="006932D6">
        <w:t xml:space="preserve"> </w:t>
      </w:r>
      <w:r w:rsidR="00775FC3">
        <w:t xml:space="preserve">Also among banks in developed countries we observe </w:t>
      </w:r>
      <w:r w:rsidR="0047309B">
        <w:t>various organizational types. For example</w:t>
      </w:r>
      <w:r w:rsidR="00775FC3">
        <w:t>,</w:t>
      </w:r>
      <w:r w:rsidR="0047309B">
        <w:t xml:space="preserve"> the </w:t>
      </w:r>
      <w:r w:rsidR="00775FC3">
        <w:t xml:space="preserve">Dutch </w:t>
      </w:r>
      <w:r w:rsidR="0047309B">
        <w:t xml:space="preserve">cooperative bank Rabobank ranks </w:t>
      </w:r>
      <w:r w:rsidR="0047309B">
        <w:lastRenderedPageBreak/>
        <w:t>among the world</w:t>
      </w:r>
      <w:r w:rsidR="00775FC3">
        <w:t>’s</w:t>
      </w:r>
      <w:r w:rsidR="0047309B">
        <w:t xml:space="preserve"> 25 largest banks and in </w:t>
      </w:r>
      <w:smartTag w:uri="urn:schemas-microsoft-com:office:smarttags" w:element="place">
        <w:smartTag w:uri="urn:schemas-microsoft-com:office:smarttags" w:element="country-region">
          <w:r w:rsidR="0047309B">
            <w:t>Germany</w:t>
          </w:r>
        </w:smartTag>
      </w:smartTag>
      <w:r w:rsidR="0047309B">
        <w:t xml:space="preserve"> the ownerless Sparkassen hold</w:t>
      </w:r>
      <w:r w:rsidR="00775FC3">
        <w:t>s</w:t>
      </w:r>
      <w:r w:rsidR="0047309B">
        <w:t xml:space="preserve"> more than 40% of the banking market. Nevertheless, the many organizational</w:t>
      </w:r>
      <w:r w:rsidR="004A4F33">
        <w:t xml:space="preserve"> </w:t>
      </w:r>
      <w:r w:rsidR="0047309B">
        <w:t xml:space="preserve">types in microfinance can be a particular challenge since they operate in markets with normally limited competition and under different regulatory regimes (Merland, 2009). </w:t>
      </w:r>
      <w:r w:rsidRPr="006932D6">
        <w:t>Table 1 presents a characterization of different MFI ownership types.</w:t>
      </w:r>
    </w:p>
    <w:p w:rsidR="00B90153" w:rsidRDefault="00AE0C06" w:rsidP="00AE0C06">
      <w:pPr>
        <w:pStyle w:val="Listeavsnitt1"/>
        <w:ind w:left="0"/>
        <w:jc w:val="center"/>
      </w:pPr>
      <w:r>
        <w:t>[INSERT TABLE 1 ABOUT HERE]</w:t>
      </w:r>
    </w:p>
    <w:p w:rsidR="00356CCA" w:rsidRPr="006932D6" w:rsidRDefault="00356CCA" w:rsidP="004A4F33">
      <w:pPr>
        <w:pStyle w:val="Listeavsnitt1"/>
        <w:ind w:left="0"/>
      </w:pPr>
      <w:r w:rsidRPr="006932D6">
        <w:t xml:space="preserve">Banks are formal, for-profit financial institutions, usually regulated by central banks that offer savings accounts. Although NBFIs are comparable to banks, they are limited by law in the range of services they can offer; some cannot provide savings accounts. Among the nonprofit institutions, credit unions are owned and controlled by their members, who obtain and supply its funding. Finally, NGOs were the pioneers in the microfinance industry and usually are the first to start offering services to the poor in a particular region or to a particular segment of the population. They are </w:t>
      </w:r>
      <w:r w:rsidR="0038260D">
        <w:t xml:space="preserve">often </w:t>
      </w:r>
      <w:r w:rsidRPr="006932D6">
        <w:t xml:space="preserve">supported by donors and </w:t>
      </w:r>
      <w:r w:rsidR="0038260D">
        <w:t xml:space="preserve">should </w:t>
      </w:r>
      <w:r w:rsidRPr="006932D6">
        <w:t xml:space="preserve">thus </w:t>
      </w:r>
      <w:r w:rsidR="0038260D">
        <w:t xml:space="preserve">be better </w:t>
      </w:r>
      <w:r w:rsidRPr="006932D6">
        <w:t xml:space="preserve">able to serve the poorest segments of the population. </w:t>
      </w:r>
    </w:p>
    <w:p w:rsidR="00356CCA" w:rsidRDefault="00356CCA" w:rsidP="00FE2321">
      <w:pPr>
        <w:pStyle w:val="Listeavsnitt1"/>
        <w:spacing w:line="360" w:lineRule="auto"/>
        <w:rPr>
          <w:szCs w:val="20"/>
        </w:rPr>
      </w:pPr>
    </w:p>
    <w:p w:rsidR="004A4F33" w:rsidRDefault="00356CCA" w:rsidP="004A4F33">
      <w:pPr>
        <w:pStyle w:val="Listeavsnitt1"/>
        <w:ind w:left="0"/>
      </w:pPr>
      <w:r>
        <w:t xml:space="preserve">In contrast to NGOs, </w:t>
      </w:r>
      <w:r w:rsidR="00775FC3">
        <w:t>c</w:t>
      </w:r>
      <w:r>
        <w:t xml:space="preserve">ooperatives </w:t>
      </w:r>
      <w:r w:rsidR="00775FC3">
        <w:t xml:space="preserve">and </w:t>
      </w:r>
      <w:r>
        <w:t xml:space="preserve">credit unions, </w:t>
      </w:r>
      <w:r w:rsidRPr="006932D6">
        <w:t xml:space="preserve">NBFIs and banks are shareholder firms </w:t>
      </w:r>
      <w:r w:rsidR="001A5FEF">
        <w:t xml:space="preserve">who </w:t>
      </w:r>
      <w:r w:rsidR="00E94A45">
        <w:t xml:space="preserve">in theory </w:t>
      </w:r>
      <w:r w:rsidRPr="006932D6">
        <w:t xml:space="preserve">have clear financial objectives </w:t>
      </w:r>
      <w:r w:rsidR="004A4F33">
        <w:t xml:space="preserve">and </w:t>
      </w:r>
      <w:r w:rsidR="004A4F33" w:rsidRPr="006932D6">
        <w:t xml:space="preserve">distribute </w:t>
      </w:r>
      <w:r w:rsidR="004A4F33">
        <w:t xml:space="preserve">excess profits </w:t>
      </w:r>
      <w:r w:rsidR="004A4F33" w:rsidRPr="006932D6">
        <w:t>to their shareholder</w:t>
      </w:r>
      <w:r w:rsidR="001A5FEF">
        <w:t xml:space="preserve">s </w:t>
      </w:r>
      <w:r w:rsidR="001A5FEF" w:rsidRPr="006932D6">
        <w:t>(Glaeser, 2003)</w:t>
      </w:r>
      <w:r w:rsidR="004A4F33">
        <w:t>. However, their objectives are often not clear cut, because many banks and NBFIs are still fully or partly owned by NGOs.</w:t>
      </w:r>
      <w:r w:rsidR="004A4F33" w:rsidRPr="006932D6">
        <w:t xml:space="preserve"> </w:t>
      </w:r>
      <w:r w:rsidR="004A4F33">
        <w:t>C</w:t>
      </w:r>
      <w:r w:rsidR="004A4F33" w:rsidRPr="006932D6">
        <w:t xml:space="preserve">ooperatives </w:t>
      </w:r>
      <w:r w:rsidR="004A4F33">
        <w:t xml:space="preserve">and </w:t>
      </w:r>
      <w:r w:rsidR="004A4F33" w:rsidRPr="006932D6">
        <w:t>credit unions</w:t>
      </w:r>
      <w:r w:rsidR="004A4F33">
        <w:t xml:space="preserve"> are allowed to distribute profits to their members, but in practice </w:t>
      </w:r>
      <w:r w:rsidR="001A5FEF">
        <w:t xml:space="preserve">they </w:t>
      </w:r>
      <w:r w:rsidR="004A4F33">
        <w:t>tend to do this by decreasing lending rates or increasing deposit rates</w:t>
      </w:r>
      <w:r w:rsidR="004A4F33" w:rsidRPr="006932D6">
        <w:t>.</w:t>
      </w:r>
      <w:r w:rsidR="004A4F33">
        <w:t xml:space="preserve"> </w:t>
      </w:r>
      <w:r w:rsidRPr="006932D6">
        <w:t xml:space="preserve">NGOs </w:t>
      </w:r>
      <w:r w:rsidR="004A4F33">
        <w:t>are subject to a so-called</w:t>
      </w:r>
      <w:r w:rsidR="004A4F33" w:rsidRPr="006932D6">
        <w:t xml:space="preserve"> non-distribution constraint</w:t>
      </w:r>
      <w:r w:rsidR="004A4F33">
        <w:t xml:space="preserve">: they </w:t>
      </w:r>
      <w:r>
        <w:t xml:space="preserve">cannot distribute profits to </w:t>
      </w:r>
      <w:r w:rsidR="004A4F33">
        <w:t>their</w:t>
      </w:r>
      <w:r>
        <w:t xml:space="preserve"> stakeholders </w:t>
      </w:r>
      <w:r w:rsidR="004A4F33">
        <w:t xml:space="preserve">. </w:t>
      </w:r>
      <w:r>
        <w:t xml:space="preserve"> </w:t>
      </w:r>
      <w:r w:rsidRPr="006932D6">
        <w:t xml:space="preserve"> </w:t>
      </w:r>
    </w:p>
    <w:p w:rsidR="004A4F33" w:rsidRDefault="004A4F33" w:rsidP="004A4F33">
      <w:pPr>
        <w:pStyle w:val="Listeavsnitt1"/>
        <w:ind w:left="0"/>
        <w:jc w:val="left"/>
      </w:pPr>
    </w:p>
    <w:p w:rsidR="00356CCA" w:rsidRPr="006932D6" w:rsidRDefault="004A4F33" w:rsidP="004A4F33">
      <w:pPr>
        <w:pStyle w:val="Listeavsnitt1"/>
        <w:ind w:left="0"/>
      </w:pPr>
      <w:r>
        <w:t>T</w:t>
      </w:r>
      <w:r w:rsidR="00356CCA" w:rsidRPr="006932D6">
        <w:t xml:space="preserve">he non-distribution constraint </w:t>
      </w:r>
      <w:r w:rsidR="00E94A45">
        <w:t xml:space="preserve">may </w:t>
      </w:r>
      <w:r w:rsidR="00356CCA" w:rsidRPr="006932D6">
        <w:t xml:space="preserve">create organizational slack </w:t>
      </w:r>
      <w:r w:rsidR="00356CCA">
        <w:t>and managerial discretion</w:t>
      </w:r>
      <w:r>
        <w:t xml:space="preserve">, because any </w:t>
      </w:r>
      <w:r w:rsidRPr="006932D6">
        <w:t>excess profits are returned to the organization</w:t>
      </w:r>
      <w:r>
        <w:t xml:space="preserve"> </w:t>
      </w:r>
      <w:r w:rsidR="00356CCA" w:rsidRPr="006932D6">
        <w:t>(e.g., Glaeser and Shleifer, 2001; Hansmann, 1980)</w:t>
      </w:r>
      <w:r w:rsidR="00356CCA">
        <w:t xml:space="preserve">. Moreover, </w:t>
      </w:r>
      <w:r w:rsidR="00356CCA" w:rsidRPr="006E6EAB">
        <w:t>NGOs</w:t>
      </w:r>
      <w:r w:rsidR="00356CCA">
        <w:t>’</w:t>
      </w:r>
      <w:r w:rsidR="00356CCA" w:rsidRPr="006E6EAB">
        <w:t xml:space="preserve"> </w:t>
      </w:r>
      <w:r>
        <w:t xml:space="preserve">non-executive </w:t>
      </w:r>
      <w:r w:rsidR="00356CCA" w:rsidRPr="006E6EAB">
        <w:t xml:space="preserve">board members </w:t>
      </w:r>
      <w:r>
        <w:t xml:space="preserve">do not have a </w:t>
      </w:r>
      <w:r w:rsidR="00356CCA" w:rsidRPr="006E6EAB">
        <w:t>financial stake in the organization</w:t>
      </w:r>
      <w:r>
        <w:t>, so they have less incentives to monitor</w:t>
      </w:r>
      <w:r w:rsidR="00356CCA" w:rsidRPr="006E6EAB">
        <w:t xml:space="preserve">. (GTZ, 2000). </w:t>
      </w:r>
      <w:r w:rsidR="00356CCA">
        <w:t xml:space="preserve">These </w:t>
      </w:r>
      <w:r w:rsidR="00356CCA" w:rsidRPr="006E6EAB">
        <w:t xml:space="preserve">board members </w:t>
      </w:r>
      <w:r w:rsidR="00023A3D">
        <w:t xml:space="preserve">are </w:t>
      </w:r>
      <w:r w:rsidR="00356CCA">
        <w:t>generally</w:t>
      </w:r>
      <w:r w:rsidR="00023A3D">
        <w:t xml:space="preserve"> independent persons who may wish to support the organization but in practice lack the technical knowledge and the time needed to assure proper board oversight and control. Sometimes NGO boards also</w:t>
      </w:r>
      <w:r w:rsidR="00356CCA">
        <w:t xml:space="preserve"> </w:t>
      </w:r>
      <w:r w:rsidR="00356CCA" w:rsidRPr="006E6EAB">
        <w:t xml:space="preserve">include donors </w:t>
      </w:r>
      <w:r w:rsidR="00356CCA" w:rsidRPr="006E6EAB">
        <w:lastRenderedPageBreak/>
        <w:t xml:space="preserve">and clients, who </w:t>
      </w:r>
      <w:r w:rsidR="00023A3D">
        <w:t xml:space="preserve">do have a stake in the organization but seldom have </w:t>
      </w:r>
      <w:r w:rsidR="00356CCA" w:rsidRPr="006E6EAB">
        <w:t>financial knowledge and experience with risk management.</w:t>
      </w:r>
      <w:r w:rsidR="00356CCA" w:rsidRPr="006932D6">
        <w:t xml:space="preserve"> </w:t>
      </w:r>
      <w:r w:rsidR="00356CCA">
        <w:t>In addition, NGOs are less affected by e</w:t>
      </w:r>
      <w:r w:rsidR="00356CCA" w:rsidRPr="006932D6">
        <w:t>xternal governance mechanisms</w:t>
      </w:r>
      <w:r w:rsidR="00023A3D">
        <w:t xml:space="preserve"> like public banking regulation </w:t>
      </w:r>
      <w:r w:rsidR="00356CCA">
        <w:t xml:space="preserve">and hence are </w:t>
      </w:r>
      <w:r w:rsidR="00023A3D">
        <w:t xml:space="preserve">normally </w:t>
      </w:r>
      <w:r w:rsidR="00356CCA">
        <w:t>not allowed to o</w:t>
      </w:r>
      <w:r w:rsidR="00356CCA" w:rsidRPr="006932D6">
        <w:t xml:space="preserve">ffer savings products. Because they do not offer savings products and cannot issue equity, they are more limited than other MFIs in obtaining funding. However, NGOs are better able to obtain donor money; </w:t>
      </w:r>
      <w:r>
        <w:t xml:space="preserve">due to </w:t>
      </w:r>
      <w:r w:rsidR="00356CCA" w:rsidRPr="006932D6">
        <w:t>their non-distribution constraint donations cannot be expropriated</w:t>
      </w:r>
      <w:r w:rsidR="00FD0EB4">
        <w:t xml:space="preserve"> (Mersland, 2009)</w:t>
      </w:r>
      <w:r w:rsidR="00356CCA" w:rsidRPr="006932D6">
        <w:t xml:space="preserve">. </w:t>
      </w:r>
      <w:r>
        <w:t>D</w:t>
      </w:r>
      <w:r w:rsidR="00356CCA" w:rsidRPr="006932D6">
        <w:t xml:space="preserve">onations </w:t>
      </w:r>
      <w:r>
        <w:t xml:space="preserve">shield </w:t>
      </w:r>
      <w:r w:rsidR="00356CCA" w:rsidRPr="006932D6">
        <w:t xml:space="preserve">NGOs </w:t>
      </w:r>
      <w:r w:rsidR="001A5FEF">
        <w:t xml:space="preserve">somewhat </w:t>
      </w:r>
      <w:r w:rsidR="00356CCA" w:rsidRPr="006932D6">
        <w:t xml:space="preserve">from </w:t>
      </w:r>
      <w:r w:rsidR="001A5FEF">
        <w:t>competition, which is another external</w:t>
      </w:r>
      <w:r w:rsidR="00356CCA" w:rsidRPr="006932D6">
        <w:t xml:space="preserve"> governance mechanism</w:t>
      </w:r>
      <w:r w:rsidR="001A5FEF">
        <w:t>.</w:t>
      </w:r>
    </w:p>
    <w:p w:rsidR="00356CCA" w:rsidRDefault="00356CCA" w:rsidP="00FE2321">
      <w:pPr>
        <w:pStyle w:val="Listeavsnitt1"/>
        <w:spacing w:line="360" w:lineRule="auto"/>
        <w:rPr>
          <w:szCs w:val="20"/>
        </w:rPr>
      </w:pPr>
    </w:p>
    <w:p w:rsidR="00356CCA" w:rsidRDefault="00356CCA" w:rsidP="00205E9D">
      <w:pPr>
        <w:pStyle w:val="Listeavsnitt1"/>
        <w:ind w:left="0"/>
      </w:pPr>
      <w:r w:rsidRPr="006932D6">
        <w:t xml:space="preserve">Many authors argue that </w:t>
      </w:r>
      <w:r w:rsidR="00205E9D">
        <w:t>nonprofit</w:t>
      </w:r>
      <w:r>
        <w:t xml:space="preserve"> MFIs </w:t>
      </w:r>
      <w:r w:rsidR="00205E9D">
        <w:t xml:space="preserve">should transfer into </w:t>
      </w:r>
      <w:r w:rsidRPr="006932D6">
        <w:t>shareholder owned firms (SHFs) (see Me</w:t>
      </w:r>
      <w:r w:rsidR="00205E9D">
        <w:t>r</w:t>
      </w:r>
      <w:r w:rsidRPr="006932D6">
        <w:t>sland and Str</w:t>
      </w:r>
      <w:r w:rsidR="00205E9D">
        <w:t>ø</w:t>
      </w:r>
      <w:r w:rsidRPr="006932D6">
        <w:t>m 200</w:t>
      </w:r>
      <w:r>
        <w:t>9</w:t>
      </w:r>
      <w:r w:rsidRPr="006932D6">
        <w:t xml:space="preserve"> for references). SHFs can be regulated by banking authorities, accept deposits,</w:t>
      </w:r>
      <w:r>
        <w:t xml:space="preserve"> </w:t>
      </w:r>
      <w:r w:rsidRPr="006932D6">
        <w:t xml:space="preserve">provide a larger range of better quality services, </w:t>
      </w:r>
      <w:r w:rsidR="00205E9D">
        <w:t xml:space="preserve">are </w:t>
      </w:r>
      <w:r w:rsidRPr="006932D6">
        <w:t xml:space="preserve">independent from donors, attract private equity capital and benefit from superior corporate governance because they are privately owned. </w:t>
      </w:r>
      <w:r>
        <w:t xml:space="preserve"> However, a recent study by </w:t>
      </w:r>
      <w:r w:rsidRPr="006932D6">
        <w:t>M</w:t>
      </w:r>
      <w:r>
        <w:t>ersland and Strøm</w:t>
      </w:r>
      <w:r w:rsidRPr="006932D6">
        <w:t xml:space="preserve"> (200</w:t>
      </w:r>
      <w:r w:rsidR="00AC4700">
        <w:t>8</w:t>
      </w:r>
      <w:r w:rsidRPr="006932D6">
        <w:t>)</w:t>
      </w:r>
      <w:r>
        <w:t xml:space="preserve"> contradicts this hypothesis. They compare NGOs and Shareholder MFIs (SHFs) </w:t>
      </w:r>
      <w:r w:rsidR="00205E9D">
        <w:t xml:space="preserve">on five </w:t>
      </w:r>
      <w:r w:rsidR="00954CEE">
        <w:t>aspect</w:t>
      </w:r>
      <w:r w:rsidR="00205E9D">
        <w:t>s of the MFI</w:t>
      </w:r>
      <w:r>
        <w:t xml:space="preserve"> </w:t>
      </w:r>
      <w:r w:rsidRPr="006932D6">
        <w:t>performance dimensions</w:t>
      </w:r>
      <w:r w:rsidR="00205E9D">
        <w:t>:</w:t>
      </w:r>
      <w:r w:rsidRPr="006932D6">
        <w:t xml:space="preserve"> </w:t>
      </w:r>
      <w:r w:rsidR="00954CEE">
        <w:t>C</w:t>
      </w:r>
      <w:r w:rsidRPr="006932D6">
        <w:t xml:space="preserve">ost, </w:t>
      </w:r>
      <w:r w:rsidR="00954CEE">
        <w:t>D</w:t>
      </w:r>
      <w:r w:rsidRPr="006932D6">
        <w:t xml:space="preserve">epth, </w:t>
      </w:r>
      <w:r w:rsidR="00954CEE">
        <w:t>B</w:t>
      </w:r>
      <w:r w:rsidRPr="006932D6">
        <w:t xml:space="preserve">readth, </w:t>
      </w:r>
      <w:r w:rsidR="00954CEE">
        <w:t>L</w:t>
      </w:r>
      <w:r w:rsidRPr="006932D6">
        <w:t xml:space="preserve">ength, </w:t>
      </w:r>
      <w:r>
        <w:t xml:space="preserve">and </w:t>
      </w:r>
      <w:r w:rsidR="00954CEE">
        <w:t>S</w:t>
      </w:r>
      <w:r w:rsidRPr="006932D6">
        <w:t>cope</w:t>
      </w:r>
      <w:r>
        <w:t xml:space="preserve">. </w:t>
      </w:r>
      <w:r w:rsidRPr="006932D6">
        <w:t xml:space="preserve">Cost is defined as the sum of monetary costs and transaction costs to clients, Depth is defined as clients’ poverty level or other social preferences like for instance the percentage of women reached, Breadth is defined as the number of clients served, Length is defined as the time frame of the supply of services and Scope is defined as number of types of financial contracts supplied. </w:t>
      </w:r>
      <w:r>
        <w:t xml:space="preserve">They use a </w:t>
      </w:r>
      <w:r w:rsidRPr="006932D6">
        <w:t xml:space="preserve">dataset </w:t>
      </w:r>
      <w:r>
        <w:t xml:space="preserve">containing </w:t>
      </w:r>
      <w:r w:rsidRPr="006932D6">
        <w:t>200 non-government or shareholder MF</w:t>
      </w:r>
      <w:r>
        <w:t>I</w:t>
      </w:r>
      <w:r w:rsidRPr="006932D6">
        <w:t>s</w:t>
      </w:r>
      <w:r>
        <w:t xml:space="preserve"> </w:t>
      </w:r>
      <w:r w:rsidRPr="006932D6">
        <w:t xml:space="preserve">in 54 countries. </w:t>
      </w:r>
      <w:r>
        <w:t xml:space="preserve">Surprisingly, their results suggest that </w:t>
      </w:r>
      <w:r w:rsidRPr="006932D6">
        <w:t xml:space="preserve">the difference in </w:t>
      </w:r>
      <w:r>
        <w:t xml:space="preserve">social and financial </w:t>
      </w:r>
      <w:r w:rsidRPr="006932D6">
        <w:t>performance between SHFs and NGOs is</w:t>
      </w:r>
      <w:r>
        <w:t xml:space="preserve"> </w:t>
      </w:r>
      <w:r w:rsidRPr="006932D6">
        <w:t xml:space="preserve">minimal. </w:t>
      </w:r>
    </w:p>
    <w:p w:rsidR="00356CCA" w:rsidRDefault="00356CCA" w:rsidP="00205E9D">
      <w:pPr>
        <w:pStyle w:val="Listeavsnitt1"/>
        <w:ind w:left="360"/>
        <w:rPr>
          <w:sz w:val="23"/>
          <w:szCs w:val="23"/>
        </w:rPr>
      </w:pPr>
    </w:p>
    <w:p w:rsidR="00DB7377" w:rsidRDefault="00356CCA" w:rsidP="00205E9D">
      <w:pPr>
        <w:pStyle w:val="Listeavsnitt1"/>
        <w:ind w:left="0"/>
      </w:pPr>
      <w:r>
        <w:rPr>
          <w:sz w:val="23"/>
          <w:szCs w:val="23"/>
        </w:rPr>
        <w:t xml:space="preserve">Some recent studies </w:t>
      </w:r>
      <w:r w:rsidR="00476535">
        <w:rPr>
          <w:sz w:val="23"/>
          <w:szCs w:val="23"/>
        </w:rPr>
        <w:t xml:space="preserve">use stochastic frontier analysis (SFA) to </w:t>
      </w:r>
      <w:r>
        <w:rPr>
          <w:sz w:val="23"/>
          <w:szCs w:val="23"/>
        </w:rPr>
        <w:t>examine</w:t>
      </w:r>
      <w:r w:rsidR="00476535">
        <w:rPr>
          <w:sz w:val="23"/>
          <w:szCs w:val="23"/>
        </w:rPr>
        <w:t xml:space="preserve"> the</w:t>
      </w:r>
      <w:r>
        <w:rPr>
          <w:sz w:val="23"/>
          <w:szCs w:val="23"/>
        </w:rPr>
        <w:t xml:space="preserve"> </w:t>
      </w:r>
      <w:r w:rsidR="00476535">
        <w:rPr>
          <w:sz w:val="23"/>
          <w:szCs w:val="23"/>
        </w:rPr>
        <w:t xml:space="preserve">effect of </w:t>
      </w:r>
      <w:r>
        <w:rPr>
          <w:sz w:val="23"/>
          <w:szCs w:val="23"/>
        </w:rPr>
        <w:t xml:space="preserve">corporate governance </w:t>
      </w:r>
      <w:r w:rsidR="00476535">
        <w:rPr>
          <w:sz w:val="23"/>
          <w:szCs w:val="23"/>
        </w:rPr>
        <w:t xml:space="preserve">on </w:t>
      </w:r>
      <w:r>
        <w:rPr>
          <w:sz w:val="23"/>
          <w:szCs w:val="23"/>
        </w:rPr>
        <w:t>MFI efficiency</w:t>
      </w:r>
      <w:r w:rsidR="00476535">
        <w:t xml:space="preserve">. </w:t>
      </w:r>
      <w:r w:rsidRPr="006932D6">
        <w:t>Servin</w:t>
      </w:r>
      <w:r>
        <w:t xml:space="preserve">, </w:t>
      </w:r>
      <w:r w:rsidRPr="006932D6">
        <w:t>Lensink</w:t>
      </w:r>
      <w:r>
        <w:t xml:space="preserve">, and van den </w:t>
      </w:r>
      <w:r w:rsidRPr="006932D6">
        <w:t>Berg (201</w:t>
      </w:r>
      <w:r>
        <w:t>1</w:t>
      </w:r>
      <w:r w:rsidRPr="006932D6">
        <w:t>)</w:t>
      </w:r>
      <w:r>
        <w:t xml:space="preserve"> examine whether MFIs with different ownership types  differ in technical efficiency and technology. Using a sample of 315 MFIs from 18 Latin American, and applying the methodology of Lansink et al. (2001) they </w:t>
      </w:r>
      <w:r w:rsidRPr="006932D6">
        <w:t>estimat</w:t>
      </w:r>
      <w:r>
        <w:t>e</w:t>
      </w:r>
      <w:r w:rsidRPr="006932D6">
        <w:t xml:space="preserve"> separate production functions for </w:t>
      </w:r>
      <w:r>
        <w:t xml:space="preserve">MFIs characterized as </w:t>
      </w:r>
      <w:r w:rsidRPr="006932D6">
        <w:t>NGO</w:t>
      </w:r>
      <w:r>
        <w:t>s</w:t>
      </w:r>
      <w:r w:rsidRPr="006932D6">
        <w:t>,</w:t>
      </w:r>
      <w:r>
        <w:t xml:space="preserve"> </w:t>
      </w:r>
      <w:r w:rsidRPr="006932D6">
        <w:t>Cooperative/Credit Union, NBFI and Bank</w:t>
      </w:r>
      <w:r>
        <w:t>s</w:t>
      </w:r>
      <w:r w:rsidRPr="006932D6">
        <w:t xml:space="preserve">. </w:t>
      </w:r>
      <w:r>
        <w:t xml:space="preserve">The study suggests that the technology of NBFIs and Banks is better than that of NGOs and </w:t>
      </w:r>
      <w:r>
        <w:lastRenderedPageBreak/>
        <w:t>Cooperatives/credit unions</w:t>
      </w:r>
      <w:r w:rsidR="00476535">
        <w:t xml:space="preserve">. This is </w:t>
      </w:r>
      <w:r>
        <w:t>probably due to</w:t>
      </w:r>
      <w:r w:rsidR="00476535">
        <w:t xml:space="preserve"> the facts that NBFIs and banks offer larger loans to richer clients, which allows them to use more efficient technologies. </w:t>
      </w:r>
      <w:r>
        <w:t xml:space="preserve"> Moreover, they find that NBFIs and Banks are more technically efficient than NGOs and cooperatives, </w:t>
      </w:r>
      <w:r w:rsidR="00476535">
        <w:t>which implies</w:t>
      </w:r>
      <w:r>
        <w:t xml:space="preserve"> that given their own technology, NGOs and cooperatives perform worse than NBFIs and Banks. Servin, Lensink and van den Berg (2011) argue that this may be due to a suboptimal monitoring system in non- shareholder MFIs. In contrast, </w:t>
      </w:r>
      <w:r w:rsidRPr="00E56703">
        <w:t>Gutiérrez-Nieto</w:t>
      </w:r>
      <w:r>
        <w:t xml:space="preserve"> et al. (2007), in a study on </w:t>
      </w:r>
      <w:r w:rsidRPr="007F08BD">
        <w:t xml:space="preserve">30 MFIs in </w:t>
      </w:r>
      <w:smartTag w:uri="urn:schemas-microsoft-com:office:smarttags" w:element="place">
        <w:r w:rsidRPr="007F08BD">
          <w:t>Latin America</w:t>
        </w:r>
      </w:smartTag>
      <w:r>
        <w:t xml:space="preserve">, find that </w:t>
      </w:r>
      <w:r w:rsidRPr="007F08BD">
        <w:t xml:space="preserve">NGOs were more efficient than MFIs. </w:t>
      </w:r>
      <w:r>
        <w:t>The reason for the difference in outcomes is not clear. What is clear, however, is that both studies</w:t>
      </w:r>
      <w:r w:rsidRPr="00B60C08">
        <w:t xml:space="preserve"> </w:t>
      </w:r>
      <w:r>
        <w:t xml:space="preserve">clearly show that ownership type, and thus governance, </w:t>
      </w:r>
      <w:r w:rsidR="00921792">
        <w:t xml:space="preserve">matters </w:t>
      </w:r>
      <w:r>
        <w:t xml:space="preserve">for the </w:t>
      </w:r>
      <w:r w:rsidR="00921792">
        <w:t xml:space="preserve">MFI </w:t>
      </w:r>
      <w:r>
        <w:t xml:space="preserve">efficiency. </w:t>
      </w:r>
    </w:p>
    <w:p w:rsidR="00DB7377" w:rsidRDefault="00DB7377" w:rsidP="00205E9D">
      <w:pPr>
        <w:pStyle w:val="Listeavsnitt1"/>
        <w:ind w:left="360"/>
      </w:pPr>
    </w:p>
    <w:p w:rsidR="00531336" w:rsidRDefault="00F357E6" w:rsidP="00BE57CA">
      <w:pPr>
        <w:pStyle w:val="Listeavsnitt1"/>
        <w:ind w:left="0"/>
      </w:pPr>
      <w:r>
        <w:t xml:space="preserve">The dual mission of financial sustainability and outreach to the poor could create a trade-off, because serving the poor is costly. </w:t>
      </w:r>
      <w:r w:rsidR="00DB7377">
        <w:t xml:space="preserve">Hermes et al. (forthcoming) demonstrate </w:t>
      </w:r>
      <w:r>
        <w:t>th</w:t>
      </w:r>
      <w:r w:rsidR="00DB7377">
        <w:t>a</w:t>
      </w:r>
      <w:r>
        <w:t>t there is</w:t>
      </w:r>
      <w:r w:rsidR="00DB7377">
        <w:t xml:space="preserve"> trade-off between the</w:t>
      </w:r>
      <w:r w:rsidR="00BE57CA">
        <w:t>se</w:t>
      </w:r>
      <w:r w:rsidR="00DB7377">
        <w:t xml:space="preserve"> objectives. </w:t>
      </w:r>
      <w:r w:rsidR="00531336">
        <w:t xml:space="preserve">They use data for 435 MFI for the period 1997-2007 to provide new evidence on the existence of the trade-off between sustainability and outreach, using. In particular, the study focuses on the relationship between cost efficiency of MFIs (as a measure of sustainability) and the depth of outreach measured by the average loan balance, average saving balance and percentage of women borrowers. </w:t>
      </w:r>
      <w:r>
        <w:t>Clearly, clients have very different interests than employees or investors, so t</w:t>
      </w:r>
      <w:r w:rsidR="00531336">
        <w:t xml:space="preserve">he trade-off between financial and social performance, </w:t>
      </w:r>
      <w:r w:rsidR="00DB7377">
        <w:t xml:space="preserve">makes </w:t>
      </w:r>
      <w:r>
        <w:t xml:space="preserve">microfinance </w:t>
      </w:r>
      <w:r w:rsidR="00DB7377">
        <w:t>governance</w:t>
      </w:r>
      <w:r w:rsidR="00AB688C">
        <w:t xml:space="preserve"> </w:t>
      </w:r>
      <w:r w:rsidR="00DB7377">
        <w:t>extra challenging.</w:t>
      </w:r>
      <w:r>
        <w:t xml:space="preserve"> </w:t>
      </w:r>
    </w:p>
    <w:p w:rsidR="00531336" w:rsidRDefault="00531336" w:rsidP="00BE57CA">
      <w:pPr>
        <w:pStyle w:val="Listeavsnitt1"/>
        <w:ind w:left="0"/>
      </w:pPr>
    </w:p>
    <w:p w:rsidR="009F4A2E" w:rsidRDefault="00531336" w:rsidP="00BE57CA">
      <w:pPr>
        <w:pStyle w:val="Listeavsnitt1"/>
        <w:ind w:left="0"/>
        <w:rPr>
          <w:sz w:val="23"/>
          <w:szCs w:val="23"/>
        </w:rPr>
      </w:pPr>
      <w:r>
        <w:t>A</w:t>
      </w:r>
      <w:r w:rsidR="00AB688C">
        <w:t xml:space="preserve">lso researchers </w:t>
      </w:r>
      <w:r w:rsidR="00BE57CA">
        <w:t xml:space="preserve">that </w:t>
      </w:r>
      <w:r w:rsidR="00AB688C">
        <w:t>study</w:t>
      </w:r>
      <w:r w:rsidR="00BE57CA">
        <w:t xml:space="preserve"> the </w:t>
      </w:r>
      <w:r w:rsidR="00AB688C">
        <w:t xml:space="preserve">influence </w:t>
      </w:r>
      <w:r w:rsidR="00BE57CA">
        <w:t xml:space="preserve">of governance </w:t>
      </w:r>
      <w:r w:rsidR="00AB688C">
        <w:t>on MFI performance need to take into account the double objectives. Mersland and Strøm (2009) regress governance mechanisms on financial and social performance separately</w:t>
      </w:r>
      <w:r w:rsidR="00A204D5">
        <w:t xml:space="preserve"> and generally find little effect of governance on MFI performance</w:t>
      </w:r>
      <w:r w:rsidR="00AB688C">
        <w:t xml:space="preserve">. </w:t>
      </w:r>
      <w:r w:rsidR="00356CCA">
        <w:rPr>
          <w:sz w:val="23"/>
          <w:szCs w:val="23"/>
        </w:rPr>
        <w:t>Hartarska and Mersland (</w:t>
      </w:r>
      <w:r w:rsidR="00BE57CA">
        <w:rPr>
          <w:sz w:val="23"/>
          <w:szCs w:val="23"/>
        </w:rPr>
        <w:t>f</w:t>
      </w:r>
      <w:r w:rsidR="00356CCA">
        <w:rPr>
          <w:sz w:val="23"/>
          <w:szCs w:val="23"/>
        </w:rPr>
        <w:t>orthcoming)</w:t>
      </w:r>
      <w:r w:rsidR="00AB688C">
        <w:rPr>
          <w:sz w:val="23"/>
          <w:szCs w:val="23"/>
        </w:rPr>
        <w:t xml:space="preserve"> take the research one step </w:t>
      </w:r>
      <w:r w:rsidR="00BE57CA">
        <w:rPr>
          <w:sz w:val="23"/>
          <w:szCs w:val="23"/>
        </w:rPr>
        <w:t xml:space="preserve">further </w:t>
      </w:r>
      <w:r w:rsidR="00AB688C">
        <w:rPr>
          <w:sz w:val="23"/>
          <w:szCs w:val="23"/>
        </w:rPr>
        <w:t>as they apply stochastic cost frontier analyses to capture simultaneously the cost minimization goal and the goal of serving many poor clients</w:t>
      </w:r>
      <w:r w:rsidR="00A204D5">
        <w:rPr>
          <w:sz w:val="23"/>
          <w:szCs w:val="23"/>
        </w:rPr>
        <w:t>.</w:t>
      </w:r>
      <w:r w:rsidR="00356CCA">
        <w:rPr>
          <w:sz w:val="23"/>
          <w:szCs w:val="23"/>
        </w:rPr>
        <w:t xml:space="preserve"> Their study suggests that MFIs are less efficient if the positions of the CEO and the board chair are combined, and when MFIs have a larger proportion of insiders (employees) on the board. </w:t>
      </w:r>
    </w:p>
    <w:p w:rsidR="00356CCA" w:rsidRDefault="00356CCA" w:rsidP="009F4A2E">
      <w:pPr>
        <w:pStyle w:val="Listeavsnitt1"/>
        <w:ind w:left="0"/>
        <w:rPr>
          <w:sz w:val="23"/>
          <w:szCs w:val="23"/>
        </w:rPr>
      </w:pPr>
    </w:p>
    <w:p w:rsidR="00356CCA" w:rsidRPr="00AF2C5F" w:rsidRDefault="00867FBB" w:rsidP="00867FBB">
      <w:pPr>
        <w:pStyle w:val="Listeavsnitt1"/>
        <w:ind w:left="0"/>
        <w:rPr>
          <w:b/>
        </w:rPr>
      </w:pPr>
      <w:r>
        <w:rPr>
          <w:b/>
        </w:rPr>
        <w:t xml:space="preserve">3. </w:t>
      </w:r>
      <w:r w:rsidR="00356CCA" w:rsidRPr="00AF2C5F">
        <w:rPr>
          <w:b/>
        </w:rPr>
        <w:t>MFI governance and risk taking</w:t>
      </w:r>
    </w:p>
    <w:p w:rsidR="00356CCA" w:rsidRDefault="00356CCA" w:rsidP="00867FBB">
      <w:pPr>
        <w:pStyle w:val="Listeavsnitt1"/>
        <w:ind w:left="0"/>
      </w:pPr>
      <w:r>
        <w:t xml:space="preserve">This section deals with </w:t>
      </w:r>
      <w:r w:rsidRPr="006E6EAB">
        <w:t>the impact of MFI governance on risk</w:t>
      </w:r>
      <w:r>
        <w:t>. Governance risk is an underestimated topic in the banking literature</w:t>
      </w:r>
      <w:r w:rsidR="008305F8">
        <w:t>.</w:t>
      </w:r>
      <w:r>
        <w:t xml:space="preserve"> </w:t>
      </w:r>
      <w:r w:rsidR="008305F8">
        <w:t xml:space="preserve">The </w:t>
      </w:r>
      <w:r>
        <w:t>current financial crises</w:t>
      </w:r>
      <w:r w:rsidR="008305F8">
        <w:t xml:space="preserve"> shows that </w:t>
      </w:r>
      <w:r w:rsidRPr="006E6EAB">
        <w:t xml:space="preserve">bank governance did not </w:t>
      </w:r>
      <w:r w:rsidR="008305F8">
        <w:t xml:space="preserve">protect banks from taking </w:t>
      </w:r>
      <w:r w:rsidRPr="006E6EAB">
        <w:t>excessive risk</w:t>
      </w:r>
      <w:r w:rsidR="008305F8">
        <w:t>s, so good g</w:t>
      </w:r>
      <w:r w:rsidR="00867FBB">
        <w:t>overnance is especially important for investors.</w:t>
      </w:r>
      <w:r>
        <w:t xml:space="preserve"> </w:t>
      </w:r>
      <w:r w:rsidR="00867FBB">
        <w:t>T</w:t>
      </w:r>
      <w:r>
        <w:t xml:space="preserve">he success </w:t>
      </w:r>
      <w:r w:rsidR="00867FBB">
        <w:t xml:space="preserve">of microfinance </w:t>
      </w:r>
      <w:r>
        <w:t xml:space="preserve">has induced more commercial debt and </w:t>
      </w:r>
      <w:r w:rsidR="008305F8">
        <w:t>equity holders</w:t>
      </w:r>
      <w:r>
        <w:t xml:space="preserve"> to invest in </w:t>
      </w:r>
      <w:r w:rsidR="00867FBB">
        <w:t>m</w:t>
      </w:r>
      <w:r>
        <w:t>icrofinance. C</w:t>
      </w:r>
      <w:r w:rsidRPr="00676B8D">
        <w:t>ommercial investors are typically more concerned about investment risks than traditional, non-profit–driven microfinance investors.</w:t>
      </w:r>
      <w:r>
        <w:t xml:space="preserve"> In addition, there are strong indications that the current financial crisis has severely affected MFI performance, which in turn has induced managers in MFIs to take excessive risks. </w:t>
      </w:r>
    </w:p>
    <w:p w:rsidR="00356CCA" w:rsidRDefault="00356CCA" w:rsidP="00867FBB">
      <w:pPr>
        <w:autoSpaceDE w:val="0"/>
        <w:autoSpaceDN w:val="0"/>
        <w:adjustRightInd w:val="0"/>
        <w:spacing w:line="360" w:lineRule="auto"/>
      </w:pPr>
    </w:p>
    <w:p w:rsidR="00356CCA" w:rsidRDefault="00356CCA" w:rsidP="00867FBB">
      <w:pPr>
        <w:pStyle w:val="Listeavsnitt1"/>
        <w:ind w:left="0"/>
      </w:pPr>
      <w:r>
        <w:t>Within the field of corporate finance some recent papers have emerged on the relationship between corporate performance variability and board member characteristics. When board members have different opinions, decisions depend on the decision-making power of different members. For example, some firms have very large boards in which the decisions are outcomes of consensus, while other firms have boards in which the CEO makes all the major decisions. Regarding the first, Cheng  (2008) looks at the relationship between board size and variability of performance and finds a negative relation.</w:t>
      </w:r>
      <w:r w:rsidRPr="006929BA">
        <w:t xml:space="preserve"> </w:t>
      </w:r>
      <w:r>
        <w:t xml:space="preserve">The explanation is that firms with larger boards make less extreme decisions and therefore have lower performance variability. Regarding the latter, Adams, Almeida and Ferreira (2005) investigate the relationship between CEO power and the variability of performance. They find that when CEOs have more power, their companies have higher performance variability. The explanation offered for this is that CEOs that have more power can make more extreme decisions, which leads to higher performance variability. </w:t>
      </w:r>
    </w:p>
    <w:p w:rsidR="00356CCA" w:rsidRDefault="00356CCA" w:rsidP="00867FBB">
      <w:pPr>
        <w:spacing w:line="360" w:lineRule="auto"/>
        <w:ind w:firstLine="720"/>
      </w:pPr>
    </w:p>
    <w:p w:rsidR="00356CCA" w:rsidRPr="00E56703" w:rsidRDefault="00D0178D" w:rsidP="00867FBB">
      <w:pPr>
        <w:pStyle w:val="Listeavsnitt1"/>
        <w:ind w:left="0"/>
      </w:pPr>
      <w:r>
        <w:t xml:space="preserve">Although governance appears to be very relevant for MFI risk taking, </w:t>
      </w:r>
      <w:r w:rsidR="00054F90">
        <w:t xml:space="preserve"> </w:t>
      </w:r>
      <w:r>
        <w:t xml:space="preserve">with the exception of </w:t>
      </w:r>
      <w:r w:rsidR="00356CCA">
        <w:t xml:space="preserve">Galema, </w:t>
      </w:r>
      <w:r w:rsidR="00F63407">
        <w:t xml:space="preserve"> et al. </w:t>
      </w:r>
      <w:r w:rsidR="00356CCA">
        <w:t>(2011)</w:t>
      </w:r>
      <w:r w:rsidR="00F63407">
        <w:t xml:space="preserve"> and Galema (2011)</w:t>
      </w:r>
      <w:r>
        <w:t>, there are almost no studies that look at this</w:t>
      </w:r>
      <w:r w:rsidR="00356CCA">
        <w:t xml:space="preserve">. </w:t>
      </w:r>
      <w:r>
        <w:t xml:space="preserve">Galema, Lensink and Mersland (2011) develop </w:t>
      </w:r>
      <w:r w:rsidR="00356CCA" w:rsidRPr="006E6EAB">
        <w:t>a framework that substantiates that MFI managers</w:t>
      </w:r>
      <w:r>
        <w:t xml:space="preserve"> have sufficient managerial discretion</w:t>
      </w:r>
      <w:r w:rsidR="00356CCA" w:rsidRPr="006E6EAB">
        <w:t xml:space="preserve">, </w:t>
      </w:r>
      <w:r>
        <w:t xml:space="preserve">such that </w:t>
      </w:r>
      <w:r w:rsidR="00356CCA" w:rsidRPr="006E6EAB">
        <w:t xml:space="preserve">CEO power </w:t>
      </w:r>
      <w:r>
        <w:t>leads to more extreme decisions.</w:t>
      </w:r>
      <w:r w:rsidR="00356CCA" w:rsidRPr="006E6EAB">
        <w:t xml:space="preserve"> </w:t>
      </w:r>
      <w:r w:rsidR="00356CCA">
        <w:t xml:space="preserve">Their main finding is in </w:t>
      </w:r>
      <w:r w:rsidR="00356CCA">
        <w:lastRenderedPageBreak/>
        <w:t xml:space="preserve">line with the </w:t>
      </w:r>
      <w:r>
        <w:t xml:space="preserve">results </w:t>
      </w:r>
      <w:r w:rsidR="00356CCA">
        <w:t>of Adams, Almeida and Ferreira (2005)</w:t>
      </w:r>
      <w:r>
        <w:t>:</w:t>
      </w:r>
      <w:r w:rsidR="00356CCA">
        <w:t xml:space="preserve"> </w:t>
      </w:r>
      <w:r w:rsidR="00356CCA" w:rsidRPr="006E6EAB">
        <w:t>CEO power is associated with more MFI risk taking</w:t>
      </w:r>
      <w:r w:rsidR="00356CCA">
        <w:t>. Galema, Lensink and Mersland (2011) also find that t</w:t>
      </w:r>
      <w:r w:rsidR="00356CCA" w:rsidRPr="006E6EAB">
        <w:t>he increase in risk is especially pronounced for NGO</w:t>
      </w:r>
      <w:r>
        <w:t>s. T</w:t>
      </w:r>
      <w:r w:rsidR="00356CCA">
        <w:t xml:space="preserve">hey explain </w:t>
      </w:r>
      <w:r>
        <w:t xml:space="preserve">this </w:t>
      </w:r>
      <w:r w:rsidR="00356CCA">
        <w:t>by arguing that</w:t>
      </w:r>
      <w:r>
        <w:t xml:space="preserve"> (1) an NGO’s </w:t>
      </w:r>
      <w:r w:rsidR="00356CCA" w:rsidRPr="006929BA">
        <w:t>non-distribution constraints create</w:t>
      </w:r>
      <w:r>
        <w:t>s</w:t>
      </w:r>
      <w:r w:rsidR="00356CCA" w:rsidRPr="006929BA">
        <w:t xml:space="preserve"> more organizational slack,</w:t>
      </w:r>
      <w:r>
        <w:t xml:space="preserve"> (2) </w:t>
      </w:r>
      <w:r w:rsidR="00356CCA" w:rsidRPr="006929BA">
        <w:t xml:space="preserve">the </w:t>
      </w:r>
      <w:r w:rsidR="00424D99">
        <w:t>double bottom line</w:t>
      </w:r>
      <w:r w:rsidR="00424D99" w:rsidRPr="006929BA">
        <w:t xml:space="preserve"> </w:t>
      </w:r>
      <w:r w:rsidR="00356CCA" w:rsidRPr="006929BA">
        <w:t>objectives make it hard for the board to practice active oversight</w:t>
      </w:r>
      <w:r>
        <w:t xml:space="preserve"> and (3) </w:t>
      </w:r>
      <w:r w:rsidR="00356CCA" w:rsidRPr="006929BA">
        <w:t>NGOs typically are not regulated</w:t>
      </w:r>
      <w:r>
        <w:t xml:space="preserve"> by a central bank. Therefore, </w:t>
      </w:r>
      <w:r w:rsidRPr="006929BA">
        <w:t xml:space="preserve">compared </w:t>
      </w:r>
      <w:r>
        <w:t xml:space="preserve">to </w:t>
      </w:r>
      <w:r w:rsidRPr="006929BA">
        <w:t>other MFI types, an NGO offers executives the most managerial discretion</w:t>
      </w:r>
    </w:p>
    <w:p w:rsidR="00025617" w:rsidRDefault="00025617" w:rsidP="003F145B">
      <w:pPr>
        <w:pStyle w:val="Listeavsnitt1"/>
        <w:ind w:left="0"/>
      </w:pPr>
    </w:p>
    <w:p w:rsidR="00356CCA" w:rsidRPr="006929BA" w:rsidRDefault="00356CCA" w:rsidP="003F145B">
      <w:pPr>
        <w:pStyle w:val="Listeavsnitt1"/>
        <w:ind w:left="0"/>
      </w:pPr>
      <w:r>
        <w:t xml:space="preserve">In this section we contribute to the literature on governance and MFI risk taking by examining whether, in line with Chen (2008), a larger board reduces MFI risk taking. We argue that the same relationships between board size and performance variability may also exist for MFIs, even though they typically have different objectives and different boards than regular firms. In general, their main objectives are reducing poverty while simultaneously being </w:t>
      </w:r>
      <w:r w:rsidR="00F63407">
        <w:t xml:space="preserve">financially </w:t>
      </w:r>
      <w:r>
        <w:t>sustainable. Due to this double bottom line, boards of MFIs are</w:t>
      </w:r>
      <w:r w:rsidRPr="006929BA">
        <w:t xml:space="preserve"> typically composed of many different types of board members, such as employees, donors, clients and</w:t>
      </w:r>
      <w:r w:rsidR="00984D5E">
        <w:t xml:space="preserve"> in particular</w:t>
      </w:r>
      <w:r w:rsidRPr="006929BA">
        <w:t xml:space="preserve"> independent board members. These board members all have different interests, which have to be balanced. For instance, employees might be more interested in financial returns, while donors would be more interested in achieving higher poverty reduction. Due to the higher diversity of board members, it is even harder for MFI boards to reach consensus. This suggests that MFIs with larger boards have less performance variability. </w:t>
      </w:r>
    </w:p>
    <w:p w:rsidR="00356CCA" w:rsidRDefault="00356CCA" w:rsidP="00205E9D">
      <w:pPr>
        <w:pStyle w:val="Listeavsnitt1"/>
        <w:ind w:left="360"/>
      </w:pPr>
    </w:p>
    <w:p w:rsidR="00356CCA" w:rsidRDefault="00356CCA" w:rsidP="003F145B">
      <w:pPr>
        <w:pStyle w:val="Listeavsnitt1"/>
        <w:ind w:left="0"/>
      </w:pPr>
      <w:r w:rsidRPr="006929BA">
        <w:t>For the analysis we use the data set as has been developed and explained in Mersland and Strom (2009). This dataset contains information from risk assessment reports on MFIs from five micro</w:t>
      </w:r>
      <w:r w:rsidR="00984D5E">
        <w:t>finance</w:t>
      </w:r>
      <w:r w:rsidRPr="006929BA">
        <w:t xml:space="preserve"> rating agencies, MicroRate, Microfinanza, Planet Rating, Crisil, and M-Cril. The dataset contains a maximum of four years of MFI data, including information on their financial position, and MFI governance characteristics, such as board size and board composition. The sample contains 278 MFIs from 60 countries over the 2000-2007</w:t>
      </w:r>
      <w:r w:rsidR="00984D5E">
        <w:t xml:space="preserve"> period</w:t>
      </w:r>
      <w:r w:rsidRPr="006929BA">
        <w:t>, with the vast majority from the last four years. The dataset primarily provides information on commercial and professionally oriented institutions that have decided to be rated to improve access to funding. F</w:t>
      </w:r>
      <w:r>
        <w:t xml:space="preserve">or more information on the dataset, the reader is referred to Mersland and Strom (2009). </w:t>
      </w:r>
    </w:p>
    <w:p w:rsidR="00356CCA" w:rsidRDefault="00356CCA" w:rsidP="003F145B">
      <w:pPr>
        <w:pStyle w:val="Listeavsnitt1"/>
        <w:ind w:left="-180"/>
      </w:pPr>
    </w:p>
    <w:p w:rsidR="00356CCA" w:rsidRDefault="00356CCA" w:rsidP="003F145B">
      <w:pPr>
        <w:pStyle w:val="Listeavsnitt1"/>
        <w:ind w:left="0"/>
      </w:pPr>
      <w:r>
        <w:t>Similar to Adams, Almeida and Fereirra (2005) and Cheng (2008), we define within-firm, over-time variability as the standard deviation of MFI performance over the sample period. We regress the standard deviation of performance on a set of independent variables, which are averaged over the sample period:</w:t>
      </w:r>
    </w:p>
    <w:p w:rsidR="00356CCA" w:rsidRDefault="00356CCA" w:rsidP="00205E9D"/>
    <w:p w:rsidR="00356CCA" w:rsidRDefault="00356CCA" w:rsidP="00205E9D">
      <w:pPr>
        <w:spacing w:line="360" w:lineRule="auto"/>
        <w:ind w:firstLine="360"/>
      </w:pPr>
      <w:r w:rsidRPr="00645588">
        <w:rPr>
          <w:position w:val="-51"/>
        </w:rPr>
        <w:object w:dxaOrig="894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6pt;height:63pt" o:ole="" filled="t">
            <v:fill color2="black"/>
            <v:imagedata r:id="rId9" o:title=""/>
          </v:shape>
          <o:OLEObject Type="Embed" ProgID="Equation.DSMT4" ShapeID="_x0000_i1025" DrawAspect="Content" ObjectID="_1520266880" r:id="rId10"/>
        </w:object>
      </w:r>
      <w:r>
        <w:tab/>
        <w:t>(1)</w:t>
      </w:r>
    </w:p>
    <w:p w:rsidR="00356CCA" w:rsidRDefault="00356CCA" w:rsidP="00205E9D">
      <w:pPr>
        <w:pStyle w:val="Default"/>
        <w:spacing w:line="480" w:lineRule="auto"/>
        <w:jc w:val="both"/>
      </w:pPr>
    </w:p>
    <w:p w:rsidR="00F63407" w:rsidRDefault="00356CCA" w:rsidP="003F145B">
      <w:pPr>
        <w:pStyle w:val="Listeavsnitt1"/>
        <w:ind w:left="0"/>
      </w:pPr>
      <w:r>
        <w:t xml:space="preserve">Where </w:t>
      </w:r>
      <w:r w:rsidRPr="006929BA">
        <w:t xml:space="preserve">y </w:t>
      </w:r>
      <w:r>
        <w:t>is either return on assets, portfolio yield or operational costs. The explanatory variables are similar to those used in Mersland and Strøm (2009). Ceochair indicates that the CEO and the chairman of the board of directors is the same person. INTboards indicates the number of international board members. Femceo is a dummy indicating that the CEO is female. Indiv indicates that an MFI uses mainly individual lending. Regulated is a dummy stating whether the MFI is being regulated by banking authorities in the country. Urban is a dummy indicating that the geographical area the MFI is emphasizing is mainly urban. Boardsize indicates the number of board members. Age indicates the MFI age. Par (Portfolio at Risk) is the percentage of the gross loan portfolio that is more than 30 days in arrear. Size is the natural logarithm of assets. Compet is microfinance market competition, as indicated by the rating agencies. Writeoff is the ratio of loans that has been written off and accounted as a loss in the MFI. Roa is the return on assets and is incorporated to control for the mean effect of the left hand side variable. Leverage is the debt-to-equity ratio.</w:t>
      </w:r>
    </w:p>
    <w:p w:rsidR="00356CCA" w:rsidRDefault="00356CCA" w:rsidP="00F63407">
      <w:pPr>
        <w:pStyle w:val="Listeavsnitt1"/>
        <w:ind w:left="0"/>
      </w:pPr>
    </w:p>
    <w:p w:rsidR="00356CCA" w:rsidRDefault="00356CCA" w:rsidP="003F145B">
      <w:pPr>
        <w:pStyle w:val="Listeavsnitt1"/>
        <w:ind w:left="0"/>
      </w:pPr>
      <w:r>
        <w:t xml:space="preserve">All explanatory variables are averaged over time, as indicated by the bar on top of each variable, so every sample MFI has only one observation. The independent variables chosen are similar to those used in performance regressions by Mersland and Strøm (2009). In addition, we include the write-off ratio and leverage since we believe they capture MFI risk. </w:t>
      </w:r>
    </w:p>
    <w:p w:rsidR="00356CCA" w:rsidRDefault="00356CCA" w:rsidP="00205E9D">
      <w:pPr>
        <w:pStyle w:val="Listeavsnitt1"/>
        <w:ind w:left="360"/>
      </w:pPr>
    </w:p>
    <w:p w:rsidR="00356CCA" w:rsidRDefault="00356CCA" w:rsidP="003F145B">
      <w:pPr>
        <w:pStyle w:val="Listeavsnitt1"/>
        <w:ind w:left="0"/>
      </w:pPr>
      <w:r>
        <w:lastRenderedPageBreak/>
        <w:t xml:space="preserve">In performing regression (1) with return on assets, we find that the results are very much influenced by outliers. To get an indication of these outliers, we use the graphical tool proposed by Rousseeuw and Van Zomeren (1990). We construct a graph (not presented for reasons of space, but which can be obtained on request) by plotting on the vertical axis the residuals, standardized by their standard deviation. We plot on the vertical axis a measure of the (multivariate) outlyingness of the explanatory variables, known as the Mahalanobis distance. This is a measure similar to the Euclidean distance, but it also takes into account the correlation structure between the explanatory variables. In order to control for the outliers, we drop the 4 observations with the largest Mahalanobis distance. </w:t>
      </w:r>
    </w:p>
    <w:p w:rsidR="00356CCA" w:rsidRDefault="00356CCA" w:rsidP="00205E9D">
      <w:pPr>
        <w:pStyle w:val="Default"/>
        <w:spacing w:line="480" w:lineRule="auto"/>
        <w:jc w:val="both"/>
        <w:rPr>
          <w:rFonts w:ascii="Times New Roman" w:hAnsi="Times New Roman" w:cs="Times New Roman"/>
          <w:color w:val="auto"/>
        </w:rPr>
      </w:pPr>
    </w:p>
    <w:p w:rsidR="00356CCA" w:rsidRDefault="00356CCA" w:rsidP="003F145B">
      <w:pPr>
        <w:pStyle w:val="Listeavsnitt1"/>
        <w:ind w:left="0"/>
      </w:pPr>
      <w:r>
        <w:t xml:space="preserve">The results of the performance variability regressions are reported in Table 2. Consistent with </w:t>
      </w:r>
      <w:r w:rsidRPr="00EC1CE4">
        <w:t xml:space="preserve">Cheng (2008), we can confirm our hypothesis that larger boards are associated with less performance variability. Also consistent with Adams et al. (2005) and Cheng (2008) we find that older MFIs have less variable return on asset performance. A novel finding we report is that MFIs </w:t>
      </w:r>
      <w:r w:rsidR="0062756D">
        <w:t xml:space="preserve">that </w:t>
      </w:r>
      <w:r w:rsidRPr="00EC1CE4">
        <w:t>fac</w:t>
      </w:r>
      <w:r w:rsidR="0062756D">
        <w:t>e</w:t>
      </w:r>
      <w:r w:rsidRPr="00EC1CE4">
        <w:t xml:space="preserve"> </w:t>
      </w:r>
      <w:r w:rsidR="0062756D">
        <w:t xml:space="preserve">less </w:t>
      </w:r>
      <w:r w:rsidRPr="00EC1CE4">
        <w:t xml:space="preserve">competition, have less performance variability. A straightforward explanation is that markets with higher competition are more mature and therefore show less growth and have more stable lending rates over time. </w:t>
      </w:r>
      <w:r w:rsidR="00A85793">
        <w:t>The finding that intern</w:t>
      </w:r>
      <w:r w:rsidR="00B507C5">
        <w:t xml:space="preserve">ational board members increase </w:t>
      </w:r>
      <w:r w:rsidR="00A85793">
        <w:t xml:space="preserve">performance variability could at first sight be considered surprising. However, this finding </w:t>
      </w:r>
      <w:r w:rsidR="00B507C5">
        <w:t>support a recent finding in Mersland et al (forthcoming) showing that international directors in MFIs have a negative influence on financial performance while they have a positive influence on the MFI’s social performance. Probably international directors in MFIs are there to control poverty outreach and don’t have the knowledge needed to enhance financial performance and reduce MFI risk.</w:t>
      </w:r>
      <w:r w:rsidR="00A85793">
        <w:t xml:space="preserve"> </w:t>
      </w:r>
      <w:r w:rsidRPr="00EC1CE4">
        <w:t>Finally, in line with Galema, Lensink and Mersland (2011) we find some evidence for the hypothesis that more CEO power is associated with more performance variability</w:t>
      </w:r>
      <w:r>
        <w:t>, with significance just below 10 percent</w:t>
      </w:r>
      <w:r w:rsidRPr="00EC1CE4">
        <w:t xml:space="preserve">. </w:t>
      </w:r>
    </w:p>
    <w:p w:rsidR="00356CCA" w:rsidRDefault="00356CCA" w:rsidP="00FE2321">
      <w:pPr>
        <w:pStyle w:val="Default"/>
        <w:spacing w:line="480" w:lineRule="auto"/>
        <w:jc w:val="both"/>
        <w:rPr>
          <w:rFonts w:ascii="Times New Roman" w:hAnsi="Times New Roman" w:cs="Times New Roman"/>
          <w:color w:val="auto"/>
        </w:rPr>
      </w:pPr>
    </w:p>
    <w:p w:rsidR="00356CCA" w:rsidRDefault="00356CCA" w:rsidP="00FE2321">
      <w:pPr>
        <w:autoSpaceDE w:val="0"/>
        <w:autoSpaceDN w:val="0"/>
        <w:adjustRightInd w:val="0"/>
        <w:ind w:firstLine="720"/>
        <w:jc w:val="center"/>
        <w:rPr>
          <w:b/>
        </w:rPr>
      </w:pPr>
      <w:r>
        <w:rPr>
          <w:b/>
        </w:rPr>
        <w:t xml:space="preserve">Table 2 </w:t>
      </w:r>
    </w:p>
    <w:p w:rsidR="00356CCA" w:rsidRPr="0064285C" w:rsidRDefault="00356CCA" w:rsidP="00FE2321">
      <w:pPr>
        <w:autoSpaceDE w:val="0"/>
        <w:autoSpaceDN w:val="0"/>
        <w:adjustRightInd w:val="0"/>
        <w:ind w:firstLine="720"/>
        <w:jc w:val="center"/>
        <w:rPr>
          <w:b/>
        </w:rPr>
      </w:pPr>
      <w:r>
        <w:rPr>
          <w:b/>
        </w:rPr>
        <w:t>Return on Assets Variability and MFI Characteristics</w:t>
      </w:r>
    </w:p>
    <w:tbl>
      <w:tblPr>
        <w:tblW w:w="6202" w:type="dxa"/>
        <w:jc w:val="center"/>
        <w:tblInd w:w="-278" w:type="dxa"/>
        <w:tblLayout w:type="fixed"/>
        <w:tblLook w:val="0000" w:firstRow="0" w:lastRow="0" w:firstColumn="0" w:lastColumn="0" w:noHBand="0" w:noVBand="0"/>
      </w:tblPr>
      <w:tblGrid>
        <w:gridCol w:w="1800"/>
        <w:gridCol w:w="2201"/>
        <w:gridCol w:w="2201"/>
      </w:tblGrid>
      <w:tr w:rsidR="00356CCA" w:rsidTr="00801AA2">
        <w:trPr>
          <w:trHeight w:val="255"/>
          <w:jc w:val="center"/>
        </w:trPr>
        <w:tc>
          <w:tcPr>
            <w:tcW w:w="1800" w:type="dxa"/>
            <w:tcBorders>
              <w:left w:val="nil"/>
              <w:bottom w:val="nil"/>
              <w:right w:val="nil"/>
            </w:tcBorders>
            <w:noWrap/>
            <w:vAlign w:val="bottom"/>
          </w:tcPr>
          <w:p w:rsidR="00356CCA" w:rsidRDefault="00A85793" w:rsidP="00801AA2">
            <w:pPr>
              <w:rPr>
                <w:rFonts w:ascii="Arial" w:hAnsi="Arial" w:cs="Arial"/>
                <w:sz w:val="20"/>
                <w:szCs w:val="20"/>
              </w:rPr>
            </w:pPr>
            <w:r>
              <w:rPr>
                <w:rFonts w:ascii="Arial" w:hAnsi="Arial" w:cs="Arial"/>
                <w:sz w:val="20"/>
                <w:szCs w:val="20"/>
              </w:rPr>
              <w:t>C</w:t>
            </w:r>
            <w:r w:rsidR="00356CCA">
              <w:rPr>
                <w:rFonts w:ascii="Arial" w:hAnsi="Arial" w:cs="Arial"/>
                <w:sz w:val="20"/>
                <w:szCs w:val="20"/>
              </w:rPr>
              <w:t>eochair</w:t>
            </w:r>
          </w:p>
        </w:tc>
        <w:tc>
          <w:tcPr>
            <w:tcW w:w="2201" w:type="dxa"/>
            <w:tcBorders>
              <w:left w:val="nil"/>
              <w:bottom w:val="nil"/>
              <w:right w:val="nil"/>
            </w:tcBorders>
            <w:noWrap/>
            <w:vAlign w:val="bottom"/>
          </w:tcPr>
          <w:p w:rsidR="00356CCA" w:rsidRDefault="00356CCA" w:rsidP="00801AA2">
            <w:pPr>
              <w:jc w:val="center"/>
              <w:rPr>
                <w:rFonts w:ascii="Arial" w:hAnsi="Arial" w:cs="Arial"/>
                <w:sz w:val="20"/>
                <w:szCs w:val="20"/>
              </w:rPr>
            </w:pPr>
            <w:r>
              <w:rPr>
                <w:rFonts w:ascii="Arial" w:hAnsi="Arial" w:cs="Arial"/>
                <w:sz w:val="20"/>
                <w:szCs w:val="20"/>
              </w:rPr>
              <w:t>0.021</w:t>
            </w:r>
          </w:p>
        </w:tc>
        <w:tc>
          <w:tcPr>
            <w:tcW w:w="2201" w:type="dxa"/>
            <w:tcBorders>
              <w:left w:val="nil"/>
              <w:bottom w:val="nil"/>
              <w:right w:val="nil"/>
            </w:tcBorders>
          </w:tcPr>
          <w:p w:rsidR="00356CCA" w:rsidRDefault="00356CCA" w:rsidP="00801AA2">
            <w:pPr>
              <w:jc w:val="center"/>
              <w:rPr>
                <w:rFonts w:ascii="Arial" w:hAnsi="Arial" w:cs="Arial"/>
                <w:sz w:val="20"/>
                <w:szCs w:val="20"/>
              </w:rPr>
            </w:pPr>
            <w:r>
              <w:rPr>
                <w:rFonts w:ascii="Arial" w:hAnsi="Arial" w:cs="Arial"/>
                <w:sz w:val="20"/>
                <w:szCs w:val="20"/>
              </w:rPr>
              <w:t>[0.106]</w:t>
            </w:r>
          </w:p>
        </w:tc>
      </w:tr>
      <w:tr w:rsidR="00356CCA" w:rsidTr="00801AA2">
        <w:trPr>
          <w:trHeight w:val="255"/>
          <w:jc w:val="center"/>
        </w:trPr>
        <w:tc>
          <w:tcPr>
            <w:tcW w:w="1800" w:type="dxa"/>
            <w:tcBorders>
              <w:top w:val="nil"/>
              <w:left w:val="nil"/>
              <w:bottom w:val="nil"/>
              <w:right w:val="nil"/>
            </w:tcBorders>
            <w:noWrap/>
            <w:vAlign w:val="bottom"/>
          </w:tcPr>
          <w:p w:rsidR="00356CCA" w:rsidRDefault="00A85793" w:rsidP="00801AA2">
            <w:pPr>
              <w:rPr>
                <w:rFonts w:ascii="Arial" w:hAnsi="Arial" w:cs="Arial"/>
                <w:sz w:val="20"/>
                <w:szCs w:val="20"/>
              </w:rPr>
            </w:pPr>
            <w:r>
              <w:rPr>
                <w:rFonts w:ascii="Arial" w:hAnsi="Arial" w:cs="Arial"/>
                <w:sz w:val="20"/>
                <w:szCs w:val="20"/>
              </w:rPr>
              <w:lastRenderedPageBreak/>
              <w:t>I</w:t>
            </w:r>
            <w:r w:rsidR="00356CCA">
              <w:rPr>
                <w:rFonts w:ascii="Arial" w:hAnsi="Arial" w:cs="Arial"/>
                <w:sz w:val="20"/>
                <w:szCs w:val="20"/>
              </w:rPr>
              <w:t>ntboards</w:t>
            </w:r>
          </w:p>
        </w:tc>
        <w:tc>
          <w:tcPr>
            <w:tcW w:w="2201" w:type="dxa"/>
            <w:tcBorders>
              <w:top w:val="nil"/>
              <w:left w:val="nil"/>
              <w:bottom w:val="nil"/>
              <w:right w:val="nil"/>
            </w:tcBorders>
            <w:noWrap/>
            <w:vAlign w:val="bottom"/>
          </w:tcPr>
          <w:p w:rsidR="00356CCA" w:rsidRDefault="00356CCA" w:rsidP="00801AA2">
            <w:pPr>
              <w:jc w:val="center"/>
              <w:rPr>
                <w:rFonts w:ascii="Arial" w:hAnsi="Arial" w:cs="Arial"/>
                <w:sz w:val="20"/>
                <w:szCs w:val="20"/>
              </w:rPr>
            </w:pPr>
            <w:r>
              <w:rPr>
                <w:rFonts w:ascii="Arial" w:hAnsi="Arial" w:cs="Arial"/>
                <w:sz w:val="20"/>
                <w:szCs w:val="20"/>
              </w:rPr>
              <w:t>0.013**</w:t>
            </w:r>
          </w:p>
        </w:tc>
        <w:tc>
          <w:tcPr>
            <w:tcW w:w="2201" w:type="dxa"/>
            <w:tcBorders>
              <w:top w:val="nil"/>
              <w:left w:val="nil"/>
              <w:bottom w:val="nil"/>
              <w:right w:val="nil"/>
            </w:tcBorders>
          </w:tcPr>
          <w:p w:rsidR="00356CCA" w:rsidRDefault="00356CCA" w:rsidP="00801AA2">
            <w:pPr>
              <w:jc w:val="center"/>
              <w:rPr>
                <w:rFonts w:ascii="Arial" w:hAnsi="Arial" w:cs="Arial"/>
                <w:sz w:val="20"/>
                <w:szCs w:val="20"/>
              </w:rPr>
            </w:pPr>
            <w:r>
              <w:rPr>
                <w:rFonts w:ascii="Arial" w:hAnsi="Arial" w:cs="Arial"/>
                <w:sz w:val="20"/>
                <w:szCs w:val="20"/>
              </w:rPr>
              <w:t>[0.034]</w:t>
            </w:r>
          </w:p>
        </w:tc>
      </w:tr>
      <w:tr w:rsidR="00356CCA" w:rsidTr="00801AA2">
        <w:trPr>
          <w:trHeight w:val="255"/>
          <w:jc w:val="center"/>
        </w:trPr>
        <w:tc>
          <w:tcPr>
            <w:tcW w:w="1800" w:type="dxa"/>
            <w:tcBorders>
              <w:top w:val="nil"/>
              <w:left w:val="nil"/>
              <w:bottom w:val="nil"/>
              <w:right w:val="nil"/>
            </w:tcBorders>
            <w:noWrap/>
            <w:vAlign w:val="bottom"/>
          </w:tcPr>
          <w:p w:rsidR="00356CCA" w:rsidRDefault="00A85793" w:rsidP="00801AA2">
            <w:pPr>
              <w:rPr>
                <w:rFonts w:ascii="Arial" w:hAnsi="Arial" w:cs="Arial"/>
                <w:sz w:val="20"/>
                <w:szCs w:val="20"/>
              </w:rPr>
            </w:pPr>
            <w:r>
              <w:rPr>
                <w:rFonts w:ascii="Arial" w:hAnsi="Arial" w:cs="Arial"/>
                <w:sz w:val="20"/>
                <w:szCs w:val="20"/>
              </w:rPr>
              <w:t>B</w:t>
            </w:r>
            <w:r w:rsidR="00356CCA">
              <w:rPr>
                <w:rFonts w:ascii="Arial" w:hAnsi="Arial" w:cs="Arial"/>
                <w:sz w:val="20"/>
                <w:szCs w:val="20"/>
              </w:rPr>
              <w:t>oards</w:t>
            </w:r>
          </w:p>
        </w:tc>
        <w:tc>
          <w:tcPr>
            <w:tcW w:w="2201" w:type="dxa"/>
            <w:tcBorders>
              <w:top w:val="nil"/>
              <w:left w:val="nil"/>
              <w:bottom w:val="nil"/>
              <w:right w:val="nil"/>
            </w:tcBorders>
            <w:noWrap/>
            <w:vAlign w:val="bottom"/>
          </w:tcPr>
          <w:p w:rsidR="00356CCA" w:rsidRDefault="00356CCA" w:rsidP="00801AA2">
            <w:pPr>
              <w:jc w:val="center"/>
              <w:rPr>
                <w:rFonts w:ascii="Arial" w:hAnsi="Arial" w:cs="Arial"/>
                <w:sz w:val="20"/>
                <w:szCs w:val="20"/>
              </w:rPr>
            </w:pPr>
            <w:r>
              <w:rPr>
                <w:rFonts w:ascii="Arial" w:hAnsi="Arial" w:cs="Arial"/>
                <w:sz w:val="20"/>
                <w:szCs w:val="20"/>
              </w:rPr>
              <w:t>-0.003*</w:t>
            </w:r>
          </w:p>
        </w:tc>
        <w:tc>
          <w:tcPr>
            <w:tcW w:w="2201" w:type="dxa"/>
            <w:tcBorders>
              <w:top w:val="nil"/>
              <w:left w:val="nil"/>
              <w:bottom w:val="nil"/>
              <w:right w:val="nil"/>
            </w:tcBorders>
          </w:tcPr>
          <w:p w:rsidR="00356CCA" w:rsidRDefault="00356CCA" w:rsidP="00801AA2">
            <w:pPr>
              <w:jc w:val="center"/>
              <w:rPr>
                <w:rFonts w:ascii="Arial" w:hAnsi="Arial" w:cs="Arial"/>
                <w:sz w:val="20"/>
                <w:szCs w:val="20"/>
              </w:rPr>
            </w:pPr>
            <w:r>
              <w:rPr>
                <w:rFonts w:ascii="Arial" w:hAnsi="Arial" w:cs="Arial"/>
                <w:sz w:val="20"/>
                <w:szCs w:val="20"/>
              </w:rPr>
              <w:t>[0.052]</w:t>
            </w:r>
          </w:p>
        </w:tc>
      </w:tr>
      <w:tr w:rsidR="00356CCA" w:rsidTr="00801AA2">
        <w:trPr>
          <w:trHeight w:val="255"/>
          <w:jc w:val="center"/>
        </w:trPr>
        <w:tc>
          <w:tcPr>
            <w:tcW w:w="1800" w:type="dxa"/>
            <w:tcBorders>
              <w:top w:val="nil"/>
              <w:left w:val="nil"/>
              <w:bottom w:val="nil"/>
              <w:right w:val="nil"/>
            </w:tcBorders>
            <w:noWrap/>
            <w:vAlign w:val="bottom"/>
          </w:tcPr>
          <w:p w:rsidR="00356CCA" w:rsidRDefault="00A85793" w:rsidP="00801AA2">
            <w:pPr>
              <w:rPr>
                <w:rFonts w:ascii="Arial" w:hAnsi="Arial" w:cs="Arial"/>
                <w:sz w:val="20"/>
                <w:szCs w:val="20"/>
              </w:rPr>
            </w:pPr>
            <w:r>
              <w:rPr>
                <w:rFonts w:ascii="Arial" w:hAnsi="Arial" w:cs="Arial"/>
                <w:sz w:val="20"/>
                <w:szCs w:val="20"/>
              </w:rPr>
              <w:t>F</w:t>
            </w:r>
            <w:r w:rsidR="00356CCA">
              <w:rPr>
                <w:rFonts w:ascii="Arial" w:hAnsi="Arial" w:cs="Arial"/>
                <w:sz w:val="20"/>
                <w:szCs w:val="20"/>
              </w:rPr>
              <w:t>emceo</w:t>
            </w:r>
          </w:p>
        </w:tc>
        <w:tc>
          <w:tcPr>
            <w:tcW w:w="2201" w:type="dxa"/>
            <w:tcBorders>
              <w:top w:val="nil"/>
              <w:left w:val="nil"/>
              <w:bottom w:val="nil"/>
              <w:right w:val="nil"/>
            </w:tcBorders>
            <w:noWrap/>
            <w:vAlign w:val="bottom"/>
          </w:tcPr>
          <w:p w:rsidR="00356CCA" w:rsidRDefault="00356CCA" w:rsidP="00801AA2">
            <w:pPr>
              <w:jc w:val="center"/>
              <w:rPr>
                <w:rFonts w:ascii="Arial" w:hAnsi="Arial" w:cs="Arial"/>
                <w:sz w:val="20"/>
                <w:szCs w:val="20"/>
              </w:rPr>
            </w:pPr>
            <w:r>
              <w:rPr>
                <w:rFonts w:ascii="Arial" w:hAnsi="Arial" w:cs="Arial"/>
                <w:sz w:val="20"/>
                <w:szCs w:val="20"/>
              </w:rPr>
              <w:t>-0.002</w:t>
            </w:r>
          </w:p>
        </w:tc>
        <w:tc>
          <w:tcPr>
            <w:tcW w:w="2201" w:type="dxa"/>
            <w:tcBorders>
              <w:top w:val="nil"/>
              <w:left w:val="nil"/>
              <w:bottom w:val="nil"/>
              <w:right w:val="nil"/>
            </w:tcBorders>
          </w:tcPr>
          <w:p w:rsidR="00356CCA" w:rsidRDefault="00356CCA" w:rsidP="00801AA2">
            <w:pPr>
              <w:jc w:val="center"/>
              <w:rPr>
                <w:rFonts w:ascii="Arial" w:hAnsi="Arial" w:cs="Arial"/>
                <w:sz w:val="20"/>
                <w:szCs w:val="20"/>
              </w:rPr>
            </w:pPr>
            <w:r>
              <w:rPr>
                <w:rFonts w:ascii="Arial" w:hAnsi="Arial" w:cs="Arial"/>
                <w:sz w:val="20"/>
                <w:szCs w:val="20"/>
              </w:rPr>
              <w:t>[0.869]</w:t>
            </w:r>
          </w:p>
        </w:tc>
      </w:tr>
      <w:tr w:rsidR="00356CCA" w:rsidTr="00801AA2">
        <w:trPr>
          <w:trHeight w:val="255"/>
          <w:jc w:val="center"/>
        </w:trPr>
        <w:tc>
          <w:tcPr>
            <w:tcW w:w="1800" w:type="dxa"/>
            <w:tcBorders>
              <w:top w:val="nil"/>
              <w:left w:val="nil"/>
              <w:bottom w:val="nil"/>
              <w:right w:val="nil"/>
            </w:tcBorders>
            <w:noWrap/>
            <w:vAlign w:val="bottom"/>
          </w:tcPr>
          <w:p w:rsidR="00356CCA" w:rsidRDefault="00356CCA" w:rsidP="00801AA2">
            <w:pPr>
              <w:rPr>
                <w:rFonts w:ascii="Arial" w:hAnsi="Arial" w:cs="Arial"/>
                <w:sz w:val="20"/>
                <w:szCs w:val="20"/>
              </w:rPr>
            </w:pPr>
            <w:r>
              <w:rPr>
                <w:rFonts w:ascii="Arial" w:hAnsi="Arial" w:cs="Arial"/>
                <w:sz w:val="20"/>
                <w:szCs w:val="20"/>
              </w:rPr>
              <w:t>Indiv</w:t>
            </w:r>
          </w:p>
        </w:tc>
        <w:tc>
          <w:tcPr>
            <w:tcW w:w="2201" w:type="dxa"/>
            <w:tcBorders>
              <w:top w:val="nil"/>
              <w:left w:val="nil"/>
              <w:bottom w:val="nil"/>
              <w:right w:val="nil"/>
            </w:tcBorders>
            <w:noWrap/>
            <w:vAlign w:val="bottom"/>
          </w:tcPr>
          <w:p w:rsidR="00356CCA" w:rsidRDefault="00356CCA" w:rsidP="00801AA2">
            <w:pPr>
              <w:jc w:val="center"/>
              <w:rPr>
                <w:rFonts w:ascii="Arial" w:hAnsi="Arial" w:cs="Arial"/>
                <w:sz w:val="20"/>
                <w:szCs w:val="20"/>
              </w:rPr>
            </w:pPr>
            <w:r>
              <w:rPr>
                <w:rFonts w:ascii="Arial" w:hAnsi="Arial" w:cs="Arial"/>
                <w:sz w:val="20"/>
                <w:szCs w:val="20"/>
              </w:rPr>
              <w:t>-0.008</w:t>
            </w:r>
          </w:p>
        </w:tc>
        <w:tc>
          <w:tcPr>
            <w:tcW w:w="2201" w:type="dxa"/>
            <w:tcBorders>
              <w:top w:val="nil"/>
              <w:left w:val="nil"/>
              <w:bottom w:val="nil"/>
              <w:right w:val="nil"/>
            </w:tcBorders>
          </w:tcPr>
          <w:p w:rsidR="00356CCA" w:rsidRDefault="00356CCA" w:rsidP="00801AA2">
            <w:pPr>
              <w:jc w:val="center"/>
              <w:rPr>
                <w:rFonts w:ascii="Arial" w:hAnsi="Arial" w:cs="Arial"/>
                <w:sz w:val="20"/>
                <w:szCs w:val="20"/>
              </w:rPr>
            </w:pPr>
            <w:r>
              <w:rPr>
                <w:rFonts w:ascii="Arial" w:hAnsi="Arial" w:cs="Arial"/>
                <w:sz w:val="20"/>
                <w:szCs w:val="20"/>
              </w:rPr>
              <w:t>[0.347]</w:t>
            </w:r>
          </w:p>
        </w:tc>
      </w:tr>
      <w:tr w:rsidR="00356CCA" w:rsidTr="00801AA2">
        <w:trPr>
          <w:trHeight w:val="255"/>
          <w:jc w:val="center"/>
        </w:trPr>
        <w:tc>
          <w:tcPr>
            <w:tcW w:w="1800" w:type="dxa"/>
            <w:tcBorders>
              <w:top w:val="nil"/>
              <w:left w:val="nil"/>
              <w:bottom w:val="nil"/>
              <w:right w:val="nil"/>
            </w:tcBorders>
            <w:noWrap/>
            <w:vAlign w:val="bottom"/>
          </w:tcPr>
          <w:p w:rsidR="00356CCA" w:rsidRDefault="00A85793" w:rsidP="00801AA2">
            <w:pPr>
              <w:rPr>
                <w:rFonts w:ascii="Arial" w:hAnsi="Arial" w:cs="Arial"/>
                <w:sz w:val="20"/>
                <w:szCs w:val="20"/>
              </w:rPr>
            </w:pPr>
            <w:r>
              <w:rPr>
                <w:rFonts w:ascii="Arial" w:hAnsi="Arial" w:cs="Arial"/>
                <w:sz w:val="20"/>
                <w:szCs w:val="20"/>
              </w:rPr>
              <w:t>B</w:t>
            </w:r>
            <w:r w:rsidR="00356CCA">
              <w:rPr>
                <w:rFonts w:ascii="Arial" w:hAnsi="Arial" w:cs="Arial"/>
                <w:sz w:val="20"/>
                <w:szCs w:val="20"/>
              </w:rPr>
              <w:t>regul</w:t>
            </w:r>
          </w:p>
        </w:tc>
        <w:tc>
          <w:tcPr>
            <w:tcW w:w="2201" w:type="dxa"/>
            <w:tcBorders>
              <w:top w:val="nil"/>
              <w:left w:val="nil"/>
              <w:bottom w:val="nil"/>
              <w:right w:val="nil"/>
            </w:tcBorders>
            <w:noWrap/>
            <w:vAlign w:val="bottom"/>
          </w:tcPr>
          <w:p w:rsidR="00356CCA" w:rsidRDefault="00356CCA" w:rsidP="00801AA2">
            <w:pPr>
              <w:jc w:val="center"/>
              <w:rPr>
                <w:rFonts w:ascii="Arial" w:hAnsi="Arial" w:cs="Arial"/>
                <w:sz w:val="20"/>
                <w:szCs w:val="20"/>
              </w:rPr>
            </w:pPr>
            <w:r>
              <w:rPr>
                <w:rFonts w:ascii="Arial" w:hAnsi="Arial" w:cs="Arial"/>
                <w:sz w:val="20"/>
                <w:szCs w:val="20"/>
              </w:rPr>
              <w:t>-0.009</w:t>
            </w:r>
          </w:p>
        </w:tc>
        <w:tc>
          <w:tcPr>
            <w:tcW w:w="2201" w:type="dxa"/>
            <w:tcBorders>
              <w:top w:val="nil"/>
              <w:left w:val="nil"/>
              <w:bottom w:val="nil"/>
              <w:right w:val="nil"/>
            </w:tcBorders>
          </w:tcPr>
          <w:p w:rsidR="00356CCA" w:rsidRDefault="00356CCA" w:rsidP="00801AA2">
            <w:pPr>
              <w:jc w:val="center"/>
              <w:rPr>
                <w:rFonts w:ascii="Arial" w:hAnsi="Arial" w:cs="Arial"/>
                <w:sz w:val="20"/>
                <w:szCs w:val="20"/>
              </w:rPr>
            </w:pPr>
            <w:r>
              <w:rPr>
                <w:rFonts w:ascii="Arial" w:hAnsi="Arial" w:cs="Arial"/>
                <w:sz w:val="20"/>
                <w:szCs w:val="20"/>
              </w:rPr>
              <w:t>[0.223]</w:t>
            </w:r>
          </w:p>
        </w:tc>
      </w:tr>
      <w:tr w:rsidR="00356CCA" w:rsidTr="00801AA2">
        <w:trPr>
          <w:trHeight w:val="255"/>
          <w:jc w:val="center"/>
        </w:trPr>
        <w:tc>
          <w:tcPr>
            <w:tcW w:w="1800" w:type="dxa"/>
            <w:tcBorders>
              <w:top w:val="nil"/>
              <w:left w:val="nil"/>
              <w:bottom w:val="nil"/>
              <w:right w:val="nil"/>
            </w:tcBorders>
            <w:noWrap/>
            <w:vAlign w:val="bottom"/>
          </w:tcPr>
          <w:p w:rsidR="00356CCA" w:rsidRDefault="00A85793" w:rsidP="00801AA2">
            <w:pPr>
              <w:rPr>
                <w:rFonts w:ascii="Arial" w:hAnsi="Arial" w:cs="Arial"/>
                <w:sz w:val="20"/>
                <w:szCs w:val="20"/>
              </w:rPr>
            </w:pPr>
            <w:r>
              <w:rPr>
                <w:rFonts w:ascii="Arial" w:hAnsi="Arial" w:cs="Arial"/>
                <w:sz w:val="20"/>
                <w:szCs w:val="20"/>
              </w:rPr>
              <w:t>U</w:t>
            </w:r>
            <w:r w:rsidR="00356CCA">
              <w:rPr>
                <w:rFonts w:ascii="Arial" w:hAnsi="Arial" w:cs="Arial"/>
                <w:sz w:val="20"/>
                <w:szCs w:val="20"/>
              </w:rPr>
              <w:t>rban</w:t>
            </w:r>
          </w:p>
        </w:tc>
        <w:tc>
          <w:tcPr>
            <w:tcW w:w="2201" w:type="dxa"/>
            <w:tcBorders>
              <w:top w:val="nil"/>
              <w:left w:val="nil"/>
              <w:bottom w:val="nil"/>
              <w:right w:val="nil"/>
            </w:tcBorders>
            <w:noWrap/>
            <w:vAlign w:val="bottom"/>
          </w:tcPr>
          <w:p w:rsidR="00356CCA" w:rsidRDefault="00356CCA" w:rsidP="00801AA2">
            <w:pPr>
              <w:jc w:val="center"/>
              <w:rPr>
                <w:rFonts w:ascii="Arial" w:hAnsi="Arial" w:cs="Arial"/>
                <w:sz w:val="20"/>
                <w:szCs w:val="20"/>
              </w:rPr>
            </w:pPr>
            <w:r>
              <w:rPr>
                <w:rFonts w:ascii="Arial" w:hAnsi="Arial" w:cs="Arial"/>
                <w:sz w:val="20"/>
                <w:szCs w:val="20"/>
              </w:rPr>
              <w:t>0.012</w:t>
            </w:r>
          </w:p>
        </w:tc>
        <w:tc>
          <w:tcPr>
            <w:tcW w:w="2201" w:type="dxa"/>
            <w:tcBorders>
              <w:top w:val="nil"/>
              <w:left w:val="nil"/>
              <w:bottom w:val="nil"/>
              <w:right w:val="nil"/>
            </w:tcBorders>
          </w:tcPr>
          <w:p w:rsidR="00356CCA" w:rsidRDefault="00356CCA" w:rsidP="00801AA2">
            <w:pPr>
              <w:jc w:val="center"/>
              <w:rPr>
                <w:rFonts w:ascii="Arial" w:hAnsi="Arial" w:cs="Arial"/>
                <w:sz w:val="20"/>
                <w:szCs w:val="20"/>
              </w:rPr>
            </w:pPr>
            <w:r>
              <w:rPr>
                <w:rFonts w:ascii="Arial" w:hAnsi="Arial" w:cs="Arial"/>
                <w:sz w:val="20"/>
                <w:szCs w:val="20"/>
              </w:rPr>
              <w:t>[0.217]</w:t>
            </w:r>
          </w:p>
        </w:tc>
      </w:tr>
      <w:tr w:rsidR="00356CCA" w:rsidTr="00801AA2">
        <w:trPr>
          <w:trHeight w:val="255"/>
          <w:jc w:val="center"/>
        </w:trPr>
        <w:tc>
          <w:tcPr>
            <w:tcW w:w="1800" w:type="dxa"/>
            <w:tcBorders>
              <w:top w:val="nil"/>
              <w:left w:val="nil"/>
              <w:bottom w:val="nil"/>
              <w:right w:val="nil"/>
            </w:tcBorders>
            <w:noWrap/>
            <w:vAlign w:val="bottom"/>
          </w:tcPr>
          <w:p w:rsidR="00356CCA" w:rsidRDefault="00356CCA" w:rsidP="00801AA2">
            <w:pPr>
              <w:rPr>
                <w:rFonts w:ascii="Arial" w:hAnsi="Arial" w:cs="Arial"/>
                <w:sz w:val="20"/>
                <w:szCs w:val="20"/>
              </w:rPr>
            </w:pPr>
            <w:r>
              <w:rPr>
                <w:rFonts w:ascii="Arial" w:hAnsi="Arial" w:cs="Arial"/>
                <w:sz w:val="20"/>
                <w:szCs w:val="20"/>
              </w:rPr>
              <w:t>Age</w:t>
            </w:r>
          </w:p>
        </w:tc>
        <w:tc>
          <w:tcPr>
            <w:tcW w:w="2201" w:type="dxa"/>
            <w:tcBorders>
              <w:top w:val="nil"/>
              <w:left w:val="nil"/>
              <w:bottom w:val="nil"/>
              <w:right w:val="nil"/>
            </w:tcBorders>
            <w:noWrap/>
            <w:vAlign w:val="bottom"/>
          </w:tcPr>
          <w:p w:rsidR="00356CCA" w:rsidRDefault="00356CCA" w:rsidP="00801AA2">
            <w:pPr>
              <w:jc w:val="center"/>
              <w:rPr>
                <w:rFonts w:ascii="Arial" w:hAnsi="Arial" w:cs="Arial"/>
                <w:sz w:val="20"/>
                <w:szCs w:val="20"/>
              </w:rPr>
            </w:pPr>
            <w:r>
              <w:rPr>
                <w:rFonts w:ascii="Arial" w:hAnsi="Arial" w:cs="Arial"/>
                <w:sz w:val="20"/>
                <w:szCs w:val="20"/>
              </w:rPr>
              <w:t>-0.001***</w:t>
            </w:r>
          </w:p>
        </w:tc>
        <w:tc>
          <w:tcPr>
            <w:tcW w:w="2201" w:type="dxa"/>
            <w:tcBorders>
              <w:top w:val="nil"/>
              <w:left w:val="nil"/>
              <w:bottom w:val="nil"/>
              <w:right w:val="nil"/>
            </w:tcBorders>
          </w:tcPr>
          <w:p w:rsidR="00356CCA" w:rsidRDefault="00356CCA" w:rsidP="00801AA2">
            <w:pPr>
              <w:jc w:val="center"/>
              <w:rPr>
                <w:rFonts w:ascii="Arial" w:hAnsi="Arial" w:cs="Arial"/>
                <w:sz w:val="20"/>
                <w:szCs w:val="20"/>
              </w:rPr>
            </w:pPr>
            <w:r>
              <w:rPr>
                <w:rFonts w:ascii="Arial" w:hAnsi="Arial" w:cs="Arial"/>
                <w:sz w:val="20"/>
                <w:szCs w:val="20"/>
              </w:rPr>
              <w:t>[0.005]</w:t>
            </w:r>
          </w:p>
        </w:tc>
      </w:tr>
      <w:tr w:rsidR="00356CCA" w:rsidTr="00801AA2">
        <w:trPr>
          <w:trHeight w:val="255"/>
          <w:jc w:val="center"/>
        </w:trPr>
        <w:tc>
          <w:tcPr>
            <w:tcW w:w="1800" w:type="dxa"/>
            <w:tcBorders>
              <w:top w:val="nil"/>
              <w:left w:val="nil"/>
              <w:bottom w:val="nil"/>
              <w:right w:val="nil"/>
            </w:tcBorders>
            <w:noWrap/>
            <w:vAlign w:val="bottom"/>
          </w:tcPr>
          <w:p w:rsidR="00356CCA" w:rsidRDefault="00356CCA" w:rsidP="00801AA2">
            <w:pPr>
              <w:rPr>
                <w:rFonts w:ascii="Arial" w:hAnsi="Arial" w:cs="Arial"/>
                <w:sz w:val="20"/>
                <w:szCs w:val="20"/>
              </w:rPr>
            </w:pPr>
            <w:r>
              <w:rPr>
                <w:rFonts w:ascii="Arial" w:hAnsi="Arial" w:cs="Arial"/>
                <w:sz w:val="20"/>
                <w:szCs w:val="20"/>
              </w:rPr>
              <w:t>par30</w:t>
            </w:r>
          </w:p>
        </w:tc>
        <w:tc>
          <w:tcPr>
            <w:tcW w:w="2201" w:type="dxa"/>
            <w:tcBorders>
              <w:top w:val="nil"/>
              <w:left w:val="nil"/>
              <w:bottom w:val="nil"/>
              <w:right w:val="nil"/>
            </w:tcBorders>
            <w:noWrap/>
            <w:vAlign w:val="bottom"/>
          </w:tcPr>
          <w:p w:rsidR="00356CCA" w:rsidRDefault="00356CCA" w:rsidP="00801AA2">
            <w:pPr>
              <w:jc w:val="center"/>
              <w:rPr>
                <w:rFonts w:ascii="Arial" w:hAnsi="Arial" w:cs="Arial"/>
                <w:sz w:val="20"/>
                <w:szCs w:val="20"/>
              </w:rPr>
            </w:pPr>
            <w:r>
              <w:rPr>
                <w:rFonts w:ascii="Arial" w:hAnsi="Arial" w:cs="Arial"/>
                <w:sz w:val="20"/>
                <w:szCs w:val="20"/>
              </w:rPr>
              <w:t>-0.022</w:t>
            </w:r>
          </w:p>
        </w:tc>
        <w:tc>
          <w:tcPr>
            <w:tcW w:w="2201" w:type="dxa"/>
            <w:tcBorders>
              <w:top w:val="nil"/>
              <w:left w:val="nil"/>
              <w:bottom w:val="nil"/>
              <w:right w:val="nil"/>
            </w:tcBorders>
          </w:tcPr>
          <w:p w:rsidR="00356CCA" w:rsidRDefault="00356CCA" w:rsidP="00801AA2">
            <w:pPr>
              <w:jc w:val="center"/>
              <w:rPr>
                <w:rFonts w:ascii="Arial" w:hAnsi="Arial" w:cs="Arial"/>
                <w:sz w:val="20"/>
                <w:szCs w:val="20"/>
              </w:rPr>
            </w:pPr>
            <w:r>
              <w:rPr>
                <w:rFonts w:ascii="Arial" w:hAnsi="Arial" w:cs="Arial"/>
                <w:sz w:val="20"/>
                <w:szCs w:val="20"/>
              </w:rPr>
              <w:t>[0.460]</w:t>
            </w:r>
          </w:p>
        </w:tc>
      </w:tr>
      <w:tr w:rsidR="00356CCA" w:rsidTr="00801AA2">
        <w:trPr>
          <w:trHeight w:val="255"/>
          <w:jc w:val="center"/>
        </w:trPr>
        <w:tc>
          <w:tcPr>
            <w:tcW w:w="1800" w:type="dxa"/>
            <w:tcBorders>
              <w:top w:val="nil"/>
              <w:left w:val="nil"/>
              <w:bottom w:val="nil"/>
              <w:right w:val="nil"/>
            </w:tcBorders>
            <w:noWrap/>
            <w:vAlign w:val="bottom"/>
          </w:tcPr>
          <w:p w:rsidR="00356CCA" w:rsidRDefault="00356CCA" w:rsidP="00801AA2">
            <w:pPr>
              <w:rPr>
                <w:rFonts w:ascii="Arial" w:hAnsi="Arial" w:cs="Arial"/>
                <w:sz w:val="20"/>
                <w:szCs w:val="20"/>
              </w:rPr>
            </w:pPr>
            <w:r>
              <w:rPr>
                <w:rFonts w:ascii="Arial" w:hAnsi="Arial" w:cs="Arial"/>
                <w:sz w:val="20"/>
                <w:szCs w:val="20"/>
              </w:rPr>
              <w:t>Size</w:t>
            </w:r>
          </w:p>
        </w:tc>
        <w:tc>
          <w:tcPr>
            <w:tcW w:w="2201" w:type="dxa"/>
            <w:tcBorders>
              <w:top w:val="nil"/>
              <w:left w:val="nil"/>
              <w:bottom w:val="nil"/>
              <w:right w:val="nil"/>
            </w:tcBorders>
            <w:noWrap/>
            <w:vAlign w:val="bottom"/>
          </w:tcPr>
          <w:p w:rsidR="00356CCA" w:rsidRDefault="00356CCA" w:rsidP="00801AA2">
            <w:pPr>
              <w:jc w:val="center"/>
              <w:rPr>
                <w:rFonts w:ascii="Arial" w:hAnsi="Arial" w:cs="Arial"/>
                <w:sz w:val="20"/>
                <w:szCs w:val="20"/>
              </w:rPr>
            </w:pPr>
            <w:r>
              <w:rPr>
                <w:rFonts w:ascii="Arial" w:hAnsi="Arial" w:cs="Arial"/>
                <w:sz w:val="20"/>
                <w:szCs w:val="20"/>
              </w:rPr>
              <w:t>-0.003</w:t>
            </w:r>
          </w:p>
        </w:tc>
        <w:tc>
          <w:tcPr>
            <w:tcW w:w="2201" w:type="dxa"/>
            <w:tcBorders>
              <w:top w:val="nil"/>
              <w:left w:val="nil"/>
              <w:bottom w:val="nil"/>
              <w:right w:val="nil"/>
            </w:tcBorders>
          </w:tcPr>
          <w:p w:rsidR="00356CCA" w:rsidRDefault="00356CCA" w:rsidP="00801AA2">
            <w:pPr>
              <w:jc w:val="center"/>
              <w:rPr>
                <w:rFonts w:ascii="Arial" w:hAnsi="Arial" w:cs="Arial"/>
                <w:sz w:val="20"/>
                <w:szCs w:val="20"/>
              </w:rPr>
            </w:pPr>
            <w:r>
              <w:rPr>
                <w:rFonts w:ascii="Arial" w:hAnsi="Arial" w:cs="Arial"/>
                <w:sz w:val="20"/>
                <w:szCs w:val="20"/>
              </w:rPr>
              <w:t>[0.364]</w:t>
            </w:r>
          </w:p>
        </w:tc>
      </w:tr>
      <w:tr w:rsidR="00356CCA" w:rsidTr="00801AA2">
        <w:trPr>
          <w:trHeight w:val="255"/>
          <w:jc w:val="center"/>
        </w:trPr>
        <w:tc>
          <w:tcPr>
            <w:tcW w:w="1800" w:type="dxa"/>
            <w:tcBorders>
              <w:top w:val="nil"/>
              <w:left w:val="nil"/>
              <w:bottom w:val="nil"/>
              <w:right w:val="nil"/>
            </w:tcBorders>
            <w:noWrap/>
            <w:vAlign w:val="bottom"/>
          </w:tcPr>
          <w:p w:rsidR="00356CCA" w:rsidRDefault="00A85793" w:rsidP="00801AA2">
            <w:pPr>
              <w:rPr>
                <w:rFonts w:ascii="Arial" w:hAnsi="Arial" w:cs="Arial"/>
                <w:sz w:val="20"/>
                <w:szCs w:val="20"/>
              </w:rPr>
            </w:pPr>
            <w:r>
              <w:rPr>
                <w:rFonts w:ascii="Arial" w:hAnsi="Arial" w:cs="Arial"/>
                <w:sz w:val="20"/>
                <w:szCs w:val="20"/>
              </w:rPr>
              <w:t>C</w:t>
            </w:r>
            <w:r w:rsidR="00356CCA">
              <w:rPr>
                <w:rFonts w:ascii="Arial" w:hAnsi="Arial" w:cs="Arial"/>
                <w:sz w:val="20"/>
                <w:szCs w:val="20"/>
              </w:rPr>
              <w:t>ompet</w:t>
            </w:r>
          </w:p>
        </w:tc>
        <w:tc>
          <w:tcPr>
            <w:tcW w:w="2201" w:type="dxa"/>
            <w:tcBorders>
              <w:top w:val="nil"/>
              <w:left w:val="nil"/>
              <w:bottom w:val="nil"/>
              <w:right w:val="nil"/>
            </w:tcBorders>
            <w:noWrap/>
            <w:vAlign w:val="bottom"/>
          </w:tcPr>
          <w:p w:rsidR="00356CCA" w:rsidRDefault="00356CCA" w:rsidP="00801AA2">
            <w:pPr>
              <w:jc w:val="center"/>
              <w:rPr>
                <w:rFonts w:ascii="Arial" w:hAnsi="Arial" w:cs="Arial"/>
                <w:sz w:val="20"/>
                <w:szCs w:val="20"/>
              </w:rPr>
            </w:pPr>
            <w:r>
              <w:rPr>
                <w:rFonts w:ascii="Arial" w:hAnsi="Arial" w:cs="Arial"/>
                <w:sz w:val="20"/>
                <w:szCs w:val="20"/>
              </w:rPr>
              <w:t>-0.009***</w:t>
            </w:r>
          </w:p>
        </w:tc>
        <w:tc>
          <w:tcPr>
            <w:tcW w:w="2201" w:type="dxa"/>
            <w:tcBorders>
              <w:top w:val="nil"/>
              <w:left w:val="nil"/>
              <w:bottom w:val="nil"/>
              <w:right w:val="nil"/>
            </w:tcBorders>
          </w:tcPr>
          <w:p w:rsidR="00356CCA" w:rsidRDefault="00356CCA" w:rsidP="00801AA2">
            <w:pPr>
              <w:jc w:val="center"/>
              <w:rPr>
                <w:rFonts w:ascii="Arial" w:hAnsi="Arial" w:cs="Arial"/>
                <w:sz w:val="20"/>
                <w:szCs w:val="20"/>
              </w:rPr>
            </w:pPr>
            <w:r>
              <w:rPr>
                <w:rFonts w:ascii="Arial" w:hAnsi="Arial" w:cs="Arial"/>
                <w:sz w:val="20"/>
                <w:szCs w:val="20"/>
              </w:rPr>
              <w:t>[0.005]</w:t>
            </w:r>
          </w:p>
        </w:tc>
      </w:tr>
      <w:tr w:rsidR="00356CCA" w:rsidTr="00801AA2">
        <w:trPr>
          <w:trHeight w:val="255"/>
          <w:jc w:val="center"/>
        </w:trPr>
        <w:tc>
          <w:tcPr>
            <w:tcW w:w="1800" w:type="dxa"/>
            <w:tcBorders>
              <w:top w:val="nil"/>
              <w:left w:val="nil"/>
              <w:bottom w:val="nil"/>
              <w:right w:val="nil"/>
            </w:tcBorders>
            <w:noWrap/>
            <w:vAlign w:val="bottom"/>
          </w:tcPr>
          <w:p w:rsidR="00356CCA" w:rsidRDefault="00A85793" w:rsidP="00801AA2">
            <w:pPr>
              <w:rPr>
                <w:rFonts w:ascii="Arial" w:hAnsi="Arial" w:cs="Arial"/>
                <w:sz w:val="20"/>
                <w:szCs w:val="20"/>
              </w:rPr>
            </w:pPr>
            <w:r>
              <w:rPr>
                <w:rFonts w:ascii="Arial" w:hAnsi="Arial" w:cs="Arial"/>
                <w:sz w:val="20"/>
                <w:szCs w:val="20"/>
              </w:rPr>
              <w:t>W</w:t>
            </w:r>
            <w:r w:rsidR="00356CCA">
              <w:rPr>
                <w:rFonts w:ascii="Arial" w:hAnsi="Arial" w:cs="Arial"/>
                <w:sz w:val="20"/>
                <w:szCs w:val="20"/>
              </w:rPr>
              <w:t>riteoff</w:t>
            </w:r>
          </w:p>
        </w:tc>
        <w:tc>
          <w:tcPr>
            <w:tcW w:w="2201" w:type="dxa"/>
            <w:tcBorders>
              <w:top w:val="nil"/>
              <w:left w:val="nil"/>
              <w:bottom w:val="nil"/>
              <w:right w:val="nil"/>
            </w:tcBorders>
            <w:noWrap/>
            <w:vAlign w:val="bottom"/>
          </w:tcPr>
          <w:p w:rsidR="00356CCA" w:rsidRDefault="00356CCA" w:rsidP="00801AA2">
            <w:pPr>
              <w:jc w:val="center"/>
              <w:rPr>
                <w:rFonts w:ascii="Arial" w:hAnsi="Arial" w:cs="Arial"/>
                <w:sz w:val="20"/>
                <w:szCs w:val="20"/>
              </w:rPr>
            </w:pPr>
            <w:r>
              <w:rPr>
                <w:rFonts w:ascii="Arial" w:hAnsi="Arial" w:cs="Arial"/>
                <w:sz w:val="20"/>
                <w:szCs w:val="20"/>
              </w:rPr>
              <w:t>0.201</w:t>
            </w:r>
          </w:p>
        </w:tc>
        <w:tc>
          <w:tcPr>
            <w:tcW w:w="2201" w:type="dxa"/>
            <w:tcBorders>
              <w:top w:val="nil"/>
              <w:left w:val="nil"/>
              <w:bottom w:val="nil"/>
              <w:right w:val="nil"/>
            </w:tcBorders>
          </w:tcPr>
          <w:p w:rsidR="00356CCA" w:rsidRDefault="00356CCA" w:rsidP="00801AA2">
            <w:pPr>
              <w:jc w:val="center"/>
              <w:rPr>
                <w:rFonts w:ascii="Arial" w:hAnsi="Arial" w:cs="Arial"/>
                <w:sz w:val="20"/>
                <w:szCs w:val="20"/>
              </w:rPr>
            </w:pPr>
            <w:r>
              <w:rPr>
                <w:rFonts w:ascii="Arial" w:hAnsi="Arial" w:cs="Arial"/>
                <w:sz w:val="20"/>
                <w:szCs w:val="20"/>
              </w:rPr>
              <w:t>[0.138]</w:t>
            </w:r>
          </w:p>
        </w:tc>
      </w:tr>
      <w:tr w:rsidR="00356CCA" w:rsidTr="00801AA2">
        <w:trPr>
          <w:trHeight w:val="255"/>
          <w:jc w:val="center"/>
        </w:trPr>
        <w:tc>
          <w:tcPr>
            <w:tcW w:w="1800" w:type="dxa"/>
            <w:tcBorders>
              <w:top w:val="nil"/>
              <w:left w:val="nil"/>
              <w:bottom w:val="nil"/>
              <w:right w:val="nil"/>
            </w:tcBorders>
            <w:noWrap/>
            <w:vAlign w:val="bottom"/>
          </w:tcPr>
          <w:p w:rsidR="00356CCA" w:rsidRDefault="00356CCA" w:rsidP="00801AA2">
            <w:pPr>
              <w:rPr>
                <w:rFonts w:ascii="Arial" w:hAnsi="Arial" w:cs="Arial"/>
                <w:sz w:val="20"/>
                <w:szCs w:val="20"/>
              </w:rPr>
            </w:pPr>
            <w:r>
              <w:rPr>
                <w:rFonts w:ascii="Arial" w:hAnsi="Arial" w:cs="Arial"/>
                <w:sz w:val="20"/>
                <w:szCs w:val="20"/>
              </w:rPr>
              <w:t>ROA</w:t>
            </w:r>
          </w:p>
        </w:tc>
        <w:tc>
          <w:tcPr>
            <w:tcW w:w="2201" w:type="dxa"/>
            <w:tcBorders>
              <w:top w:val="nil"/>
              <w:left w:val="nil"/>
              <w:bottom w:val="nil"/>
              <w:right w:val="nil"/>
            </w:tcBorders>
            <w:noWrap/>
            <w:vAlign w:val="bottom"/>
          </w:tcPr>
          <w:p w:rsidR="00356CCA" w:rsidRDefault="00356CCA" w:rsidP="00801AA2">
            <w:pPr>
              <w:jc w:val="center"/>
              <w:rPr>
                <w:rFonts w:ascii="Arial" w:hAnsi="Arial" w:cs="Arial"/>
                <w:sz w:val="20"/>
                <w:szCs w:val="20"/>
              </w:rPr>
            </w:pPr>
            <w:r>
              <w:rPr>
                <w:rFonts w:ascii="Arial" w:hAnsi="Arial" w:cs="Arial"/>
                <w:sz w:val="20"/>
                <w:szCs w:val="20"/>
              </w:rPr>
              <w:t>-0.141*</w:t>
            </w:r>
          </w:p>
        </w:tc>
        <w:tc>
          <w:tcPr>
            <w:tcW w:w="2201" w:type="dxa"/>
            <w:tcBorders>
              <w:top w:val="nil"/>
              <w:left w:val="nil"/>
              <w:bottom w:val="nil"/>
              <w:right w:val="nil"/>
            </w:tcBorders>
          </w:tcPr>
          <w:p w:rsidR="00356CCA" w:rsidRDefault="00356CCA" w:rsidP="00801AA2">
            <w:pPr>
              <w:jc w:val="center"/>
              <w:rPr>
                <w:rFonts w:ascii="Arial" w:hAnsi="Arial" w:cs="Arial"/>
                <w:sz w:val="20"/>
                <w:szCs w:val="20"/>
              </w:rPr>
            </w:pPr>
            <w:r>
              <w:rPr>
                <w:rFonts w:ascii="Arial" w:hAnsi="Arial" w:cs="Arial"/>
                <w:sz w:val="20"/>
                <w:szCs w:val="20"/>
              </w:rPr>
              <w:t>[0.074]</w:t>
            </w:r>
          </w:p>
        </w:tc>
      </w:tr>
      <w:tr w:rsidR="00356CCA" w:rsidTr="00801AA2">
        <w:trPr>
          <w:trHeight w:val="255"/>
          <w:jc w:val="center"/>
        </w:trPr>
        <w:tc>
          <w:tcPr>
            <w:tcW w:w="1800" w:type="dxa"/>
            <w:tcBorders>
              <w:top w:val="nil"/>
              <w:left w:val="nil"/>
              <w:bottom w:val="nil"/>
              <w:right w:val="nil"/>
            </w:tcBorders>
            <w:noWrap/>
            <w:vAlign w:val="bottom"/>
          </w:tcPr>
          <w:p w:rsidR="00356CCA" w:rsidRDefault="00A85793" w:rsidP="00801AA2">
            <w:pPr>
              <w:rPr>
                <w:rFonts w:ascii="Arial" w:hAnsi="Arial" w:cs="Arial"/>
                <w:sz w:val="20"/>
                <w:szCs w:val="20"/>
              </w:rPr>
            </w:pPr>
            <w:r>
              <w:rPr>
                <w:rFonts w:ascii="Arial" w:hAnsi="Arial" w:cs="Arial"/>
                <w:sz w:val="20"/>
                <w:szCs w:val="20"/>
              </w:rPr>
              <w:t>L</w:t>
            </w:r>
            <w:r w:rsidR="00356CCA">
              <w:rPr>
                <w:rFonts w:ascii="Arial" w:hAnsi="Arial" w:cs="Arial"/>
                <w:sz w:val="20"/>
                <w:szCs w:val="20"/>
              </w:rPr>
              <w:t>everage</w:t>
            </w:r>
          </w:p>
        </w:tc>
        <w:tc>
          <w:tcPr>
            <w:tcW w:w="2201" w:type="dxa"/>
            <w:tcBorders>
              <w:top w:val="nil"/>
              <w:left w:val="nil"/>
              <w:bottom w:val="nil"/>
              <w:right w:val="nil"/>
            </w:tcBorders>
            <w:noWrap/>
            <w:vAlign w:val="bottom"/>
          </w:tcPr>
          <w:p w:rsidR="00356CCA" w:rsidRDefault="00356CCA" w:rsidP="00801AA2">
            <w:pPr>
              <w:jc w:val="center"/>
              <w:rPr>
                <w:rFonts w:ascii="Arial" w:hAnsi="Arial" w:cs="Arial"/>
                <w:sz w:val="20"/>
                <w:szCs w:val="20"/>
              </w:rPr>
            </w:pPr>
            <w:r>
              <w:rPr>
                <w:rFonts w:ascii="Arial" w:hAnsi="Arial" w:cs="Arial"/>
                <w:sz w:val="20"/>
                <w:szCs w:val="20"/>
              </w:rPr>
              <w:t>-0.002</w:t>
            </w:r>
          </w:p>
        </w:tc>
        <w:tc>
          <w:tcPr>
            <w:tcW w:w="2201" w:type="dxa"/>
            <w:tcBorders>
              <w:top w:val="nil"/>
              <w:left w:val="nil"/>
              <w:bottom w:val="nil"/>
              <w:right w:val="nil"/>
            </w:tcBorders>
          </w:tcPr>
          <w:p w:rsidR="00356CCA" w:rsidRDefault="00356CCA" w:rsidP="00801AA2">
            <w:pPr>
              <w:jc w:val="center"/>
              <w:rPr>
                <w:rFonts w:ascii="Arial" w:hAnsi="Arial" w:cs="Arial"/>
                <w:sz w:val="20"/>
                <w:szCs w:val="20"/>
              </w:rPr>
            </w:pPr>
            <w:r>
              <w:rPr>
                <w:rFonts w:ascii="Arial" w:hAnsi="Arial" w:cs="Arial"/>
                <w:sz w:val="20"/>
                <w:szCs w:val="20"/>
              </w:rPr>
              <w:t>[0.687]</w:t>
            </w:r>
          </w:p>
        </w:tc>
      </w:tr>
      <w:tr w:rsidR="00356CCA" w:rsidTr="00801AA2">
        <w:trPr>
          <w:trHeight w:val="255"/>
          <w:jc w:val="center"/>
        </w:trPr>
        <w:tc>
          <w:tcPr>
            <w:tcW w:w="1800" w:type="dxa"/>
            <w:tcBorders>
              <w:top w:val="nil"/>
              <w:left w:val="nil"/>
              <w:bottom w:val="nil"/>
              <w:right w:val="nil"/>
            </w:tcBorders>
            <w:noWrap/>
            <w:vAlign w:val="bottom"/>
          </w:tcPr>
          <w:p w:rsidR="00356CCA" w:rsidRDefault="00356CCA" w:rsidP="00801AA2">
            <w:pPr>
              <w:rPr>
                <w:rFonts w:ascii="Arial" w:hAnsi="Arial" w:cs="Arial"/>
                <w:sz w:val="20"/>
                <w:szCs w:val="20"/>
              </w:rPr>
            </w:pPr>
            <w:r>
              <w:rPr>
                <w:rFonts w:ascii="Arial" w:hAnsi="Arial" w:cs="Arial"/>
                <w:sz w:val="20"/>
                <w:szCs w:val="20"/>
              </w:rPr>
              <w:t>Constant</w:t>
            </w:r>
          </w:p>
        </w:tc>
        <w:tc>
          <w:tcPr>
            <w:tcW w:w="2201" w:type="dxa"/>
            <w:tcBorders>
              <w:top w:val="nil"/>
              <w:left w:val="nil"/>
              <w:bottom w:val="nil"/>
              <w:right w:val="nil"/>
            </w:tcBorders>
            <w:noWrap/>
            <w:vAlign w:val="bottom"/>
          </w:tcPr>
          <w:p w:rsidR="00356CCA" w:rsidRDefault="00356CCA" w:rsidP="00801AA2">
            <w:pPr>
              <w:jc w:val="center"/>
              <w:rPr>
                <w:rFonts w:ascii="Arial" w:hAnsi="Arial" w:cs="Arial"/>
                <w:sz w:val="20"/>
                <w:szCs w:val="20"/>
              </w:rPr>
            </w:pPr>
            <w:r>
              <w:rPr>
                <w:rFonts w:ascii="Arial" w:hAnsi="Arial" w:cs="Arial"/>
                <w:sz w:val="20"/>
                <w:szCs w:val="20"/>
              </w:rPr>
              <w:t>0.157***</w:t>
            </w:r>
          </w:p>
        </w:tc>
        <w:tc>
          <w:tcPr>
            <w:tcW w:w="2201" w:type="dxa"/>
            <w:tcBorders>
              <w:top w:val="nil"/>
              <w:left w:val="nil"/>
              <w:bottom w:val="nil"/>
              <w:right w:val="nil"/>
            </w:tcBorders>
          </w:tcPr>
          <w:p w:rsidR="00356CCA" w:rsidRDefault="00356CCA" w:rsidP="00801AA2">
            <w:pPr>
              <w:jc w:val="center"/>
              <w:rPr>
                <w:rFonts w:ascii="Arial" w:hAnsi="Arial" w:cs="Arial"/>
                <w:sz w:val="20"/>
                <w:szCs w:val="20"/>
              </w:rPr>
            </w:pPr>
            <w:r>
              <w:rPr>
                <w:rFonts w:ascii="Arial" w:hAnsi="Arial" w:cs="Arial"/>
                <w:sz w:val="20"/>
                <w:szCs w:val="20"/>
              </w:rPr>
              <w:t>[0.001]</w:t>
            </w:r>
          </w:p>
        </w:tc>
      </w:tr>
      <w:tr w:rsidR="00356CCA" w:rsidTr="00801AA2">
        <w:trPr>
          <w:trHeight w:val="255"/>
          <w:jc w:val="center"/>
        </w:trPr>
        <w:tc>
          <w:tcPr>
            <w:tcW w:w="1800" w:type="dxa"/>
            <w:tcBorders>
              <w:top w:val="nil"/>
              <w:left w:val="nil"/>
              <w:bottom w:val="nil"/>
              <w:right w:val="nil"/>
            </w:tcBorders>
            <w:noWrap/>
            <w:vAlign w:val="bottom"/>
          </w:tcPr>
          <w:p w:rsidR="00356CCA" w:rsidRDefault="00356CCA" w:rsidP="00801AA2">
            <w:pPr>
              <w:rPr>
                <w:rFonts w:ascii="Arial" w:hAnsi="Arial" w:cs="Arial"/>
                <w:sz w:val="20"/>
                <w:szCs w:val="20"/>
              </w:rPr>
            </w:pPr>
          </w:p>
        </w:tc>
        <w:tc>
          <w:tcPr>
            <w:tcW w:w="2201" w:type="dxa"/>
            <w:tcBorders>
              <w:top w:val="nil"/>
              <w:left w:val="nil"/>
              <w:bottom w:val="nil"/>
              <w:right w:val="nil"/>
            </w:tcBorders>
            <w:noWrap/>
            <w:vAlign w:val="bottom"/>
          </w:tcPr>
          <w:p w:rsidR="00356CCA" w:rsidRDefault="00356CCA" w:rsidP="00801AA2">
            <w:pPr>
              <w:jc w:val="center"/>
              <w:rPr>
                <w:rFonts w:ascii="Arial" w:hAnsi="Arial" w:cs="Arial"/>
                <w:sz w:val="20"/>
                <w:szCs w:val="20"/>
              </w:rPr>
            </w:pPr>
          </w:p>
        </w:tc>
        <w:tc>
          <w:tcPr>
            <w:tcW w:w="2201" w:type="dxa"/>
            <w:tcBorders>
              <w:top w:val="nil"/>
              <w:left w:val="nil"/>
              <w:bottom w:val="nil"/>
              <w:right w:val="nil"/>
            </w:tcBorders>
          </w:tcPr>
          <w:p w:rsidR="00356CCA" w:rsidRDefault="00356CCA" w:rsidP="00801AA2">
            <w:pPr>
              <w:jc w:val="center"/>
              <w:rPr>
                <w:rFonts w:ascii="Arial" w:hAnsi="Arial" w:cs="Arial"/>
                <w:sz w:val="20"/>
                <w:szCs w:val="20"/>
              </w:rPr>
            </w:pPr>
          </w:p>
        </w:tc>
      </w:tr>
      <w:tr w:rsidR="00356CCA" w:rsidTr="00801AA2">
        <w:trPr>
          <w:trHeight w:val="255"/>
          <w:jc w:val="center"/>
        </w:trPr>
        <w:tc>
          <w:tcPr>
            <w:tcW w:w="1800" w:type="dxa"/>
            <w:tcBorders>
              <w:top w:val="nil"/>
              <w:left w:val="nil"/>
              <w:bottom w:val="nil"/>
              <w:right w:val="nil"/>
            </w:tcBorders>
            <w:noWrap/>
            <w:vAlign w:val="bottom"/>
          </w:tcPr>
          <w:p w:rsidR="00356CCA" w:rsidRDefault="00356CCA" w:rsidP="00801AA2">
            <w:pPr>
              <w:rPr>
                <w:rFonts w:ascii="Arial" w:hAnsi="Arial" w:cs="Arial"/>
                <w:sz w:val="20"/>
                <w:szCs w:val="20"/>
              </w:rPr>
            </w:pPr>
            <w:r>
              <w:rPr>
                <w:rFonts w:ascii="Arial" w:hAnsi="Arial" w:cs="Arial"/>
                <w:sz w:val="20"/>
                <w:szCs w:val="20"/>
              </w:rPr>
              <w:t>Observations</w:t>
            </w:r>
          </w:p>
        </w:tc>
        <w:tc>
          <w:tcPr>
            <w:tcW w:w="2201" w:type="dxa"/>
            <w:tcBorders>
              <w:top w:val="nil"/>
              <w:left w:val="nil"/>
              <w:bottom w:val="nil"/>
              <w:right w:val="nil"/>
            </w:tcBorders>
            <w:noWrap/>
            <w:vAlign w:val="bottom"/>
          </w:tcPr>
          <w:p w:rsidR="00356CCA" w:rsidRDefault="00356CCA" w:rsidP="00801AA2">
            <w:pPr>
              <w:jc w:val="center"/>
              <w:rPr>
                <w:rFonts w:ascii="Arial" w:hAnsi="Arial" w:cs="Arial"/>
                <w:sz w:val="20"/>
                <w:szCs w:val="20"/>
              </w:rPr>
            </w:pPr>
            <w:r>
              <w:rPr>
                <w:rFonts w:ascii="Arial" w:hAnsi="Arial" w:cs="Arial"/>
                <w:sz w:val="20"/>
                <w:szCs w:val="20"/>
              </w:rPr>
              <w:t>76</w:t>
            </w:r>
          </w:p>
        </w:tc>
        <w:tc>
          <w:tcPr>
            <w:tcW w:w="2201" w:type="dxa"/>
            <w:tcBorders>
              <w:top w:val="nil"/>
              <w:left w:val="nil"/>
              <w:bottom w:val="nil"/>
              <w:right w:val="nil"/>
            </w:tcBorders>
          </w:tcPr>
          <w:p w:rsidR="00356CCA" w:rsidRDefault="00356CCA" w:rsidP="00801AA2">
            <w:pPr>
              <w:jc w:val="center"/>
              <w:rPr>
                <w:rFonts w:ascii="Arial" w:hAnsi="Arial" w:cs="Arial"/>
                <w:sz w:val="20"/>
                <w:szCs w:val="20"/>
              </w:rPr>
            </w:pPr>
          </w:p>
        </w:tc>
      </w:tr>
      <w:tr w:rsidR="00356CCA" w:rsidTr="00801AA2">
        <w:trPr>
          <w:trHeight w:val="255"/>
          <w:jc w:val="center"/>
        </w:trPr>
        <w:tc>
          <w:tcPr>
            <w:tcW w:w="1800" w:type="dxa"/>
            <w:tcBorders>
              <w:top w:val="nil"/>
              <w:left w:val="nil"/>
              <w:right w:val="nil"/>
            </w:tcBorders>
            <w:noWrap/>
            <w:vAlign w:val="bottom"/>
          </w:tcPr>
          <w:p w:rsidR="00356CCA" w:rsidRDefault="00356CCA" w:rsidP="00801AA2">
            <w:pPr>
              <w:rPr>
                <w:rFonts w:ascii="Arial" w:hAnsi="Arial" w:cs="Arial"/>
                <w:sz w:val="20"/>
                <w:szCs w:val="20"/>
              </w:rPr>
            </w:pPr>
            <w:r>
              <w:rPr>
                <w:rFonts w:ascii="Arial" w:hAnsi="Arial" w:cs="Arial"/>
                <w:sz w:val="20"/>
                <w:szCs w:val="20"/>
              </w:rPr>
              <w:t>R-squared</w:t>
            </w:r>
          </w:p>
        </w:tc>
        <w:tc>
          <w:tcPr>
            <w:tcW w:w="2201" w:type="dxa"/>
            <w:tcBorders>
              <w:top w:val="nil"/>
              <w:left w:val="nil"/>
              <w:right w:val="nil"/>
            </w:tcBorders>
            <w:noWrap/>
            <w:vAlign w:val="bottom"/>
          </w:tcPr>
          <w:p w:rsidR="00356CCA" w:rsidRDefault="00356CCA" w:rsidP="00801AA2">
            <w:pPr>
              <w:jc w:val="center"/>
              <w:rPr>
                <w:rFonts w:ascii="Arial" w:hAnsi="Arial" w:cs="Arial"/>
                <w:sz w:val="20"/>
                <w:szCs w:val="20"/>
              </w:rPr>
            </w:pPr>
            <w:r>
              <w:rPr>
                <w:rFonts w:ascii="Arial" w:hAnsi="Arial" w:cs="Arial"/>
                <w:sz w:val="20"/>
                <w:szCs w:val="20"/>
              </w:rPr>
              <w:t>0.511</w:t>
            </w:r>
          </w:p>
        </w:tc>
        <w:tc>
          <w:tcPr>
            <w:tcW w:w="2201" w:type="dxa"/>
            <w:tcBorders>
              <w:top w:val="nil"/>
              <w:left w:val="nil"/>
              <w:right w:val="nil"/>
            </w:tcBorders>
          </w:tcPr>
          <w:p w:rsidR="00356CCA" w:rsidRDefault="00356CCA" w:rsidP="00801AA2">
            <w:pPr>
              <w:jc w:val="center"/>
              <w:rPr>
                <w:rFonts w:ascii="Arial" w:hAnsi="Arial" w:cs="Arial"/>
                <w:sz w:val="20"/>
                <w:szCs w:val="20"/>
              </w:rPr>
            </w:pPr>
          </w:p>
        </w:tc>
      </w:tr>
    </w:tbl>
    <w:p w:rsidR="00356CCA" w:rsidRPr="00EC1CE4" w:rsidRDefault="00356CCA" w:rsidP="00FE2321">
      <w:pPr>
        <w:pStyle w:val="Default"/>
        <w:spacing w:line="480" w:lineRule="auto"/>
        <w:jc w:val="both"/>
        <w:rPr>
          <w:rFonts w:ascii="Times New Roman" w:hAnsi="Times New Roman" w:cs="Times New Roman"/>
          <w:color w:val="auto"/>
        </w:rPr>
      </w:pPr>
      <w:r>
        <w:rPr>
          <w:rFonts w:ascii="Arial" w:hAnsi="Arial" w:cs="Arial"/>
          <w:sz w:val="20"/>
          <w:szCs w:val="20"/>
        </w:rPr>
        <w:t>* significant at 10%; ** significant at 5%; *** significant at 1%. P-values between brackets.</w:t>
      </w:r>
    </w:p>
    <w:p w:rsidR="00356CCA" w:rsidRDefault="00356CCA" w:rsidP="004E7F99">
      <w:pPr>
        <w:pStyle w:val="Listeavsnitt1"/>
        <w:jc w:val="left"/>
      </w:pPr>
    </w:p>
    <w:p w:rsidR="00356CCA" w:rsidRDefault="00B57CAD" w:rsidP="00B57CAD">
      <w:pPr>
        <w:pStyle w:val="Listeavsnitt1"/>
        <w:ind w:left="0"/>
        <w:rPr>
          <w:b/>
        </w:rPr>
      </w:pPr>
      <w:r>
        <w:rPr>
          <w:b/>
        </w:rPr>
        <w:t xml:space="preserve">4. </w:t>
      </w:r>
      <w:r w:rsidR="00356CCA">
        <w:rPr>
          <w:b/>
        </w:rPr>
        <w:t>D</w:t>
      </w:r>
      <w:r w:rsidR="00356CCA" w:rsidRPr="00D431CB">
        <w:rPr>
          <w:b/>
        </w:rPr>
        <w:t>istinctive features of microfinance</w:t>
      </w:r>
      <w:r w:rsidR="001D546D">
        <w:rPr>
          <w:b/>
        </w:rPr>
        <w:t>: dual objectives and funding structures</w:t>
      </w:r>
      <w:r w:rsidR="00356CCA">
        <w:rPr>
          <w:b/>
        </w:rPr>
        <w:t xml:space="preserve"> </w:t>
      </w:r>
    </w:p>
    <w:p w:rsidR="009C0C10" w:rsidRDefault="009C0C10" w:rsidP="009C0C10">
      <w:pPr>
        <w:pStyle w:val="Listeavsnitt1"/>
        <w:ind w:left="0"/>
      </w:pPr>
      <w:r>
        <w:t xml:space="preserve">There are many features that make banks and corporations different from MFIs. This section discusses two of these features and its implications for governance. First, MFIs have dual objectives which greatly complicates setting optimal incentives to loan managers and the board. Second, MFIs funding structures are very different. Commercialized banks rely mostly on deposits, whereas NGOs rely very much on donations. This has important implications for the board’s fiduciary duties. </w:t>
      </w:r>
    </w:p>
    <w:p w:rsidR="009C0C10" w:rsidRDefault="009C0C10" w:rsidP="009C0C10">
      <w:pPr>
        <w:pStyle w:val="Listeavsnitt1"/>
        <w:ind w:left="0"/>
        <w:rPr>
          <w:i/>
        </w:rPr>
      </w:pPr>
    </w:p>
    <w:p w:rsidR="009C0C10" w:rsidRPr="009C0C10" w:rsidRDefault="009C0C10" w:rsidP="009C0C10">
      <w:pPr>
        <w:pStyle w:val="Listeavsnitt1"/>
        <w:ind w:left="0"/>
        <w:rPr>
          <w:i/>
        </w:rPr>
      </w:pPr>
      <w:r>
        <w:rPr>
          <w:i/>
        </w:rPr>
        <w:t>Incentive schemes</w:t>
      </w:r>
      <w:r w:rsidR="001D546D">
        <w:rPr>
          <w:i/>
        </w:rPr>
        <w:t xml:space="preserve">: </w:t>
      </w:r>
      <w:r w:rsidR="001D546D" w:rsidRPr="001D546D">
        <w:rPr>
          <w:i/>
        </w:rPr>
        <w:t xml:space="preserve">a plea for new theory </w:t>
      </w:r>
      <w:r w:rsidR="00490809">
        <w:rPr>
          <w:i/>
        </w:rPr>
        <w:t xml:space="preserve">on MFI </w:t>
      </w:r>
      <w:r w:rsidR="00490809" w:rsidRPr="001D546D">
        <w:rPr>
          <w:i/>
        </w:rPr>
        <w:t>governance</w:t>
      </w:r>
    </w:p>
    <w:p w:rsidR="009C0C10" w:rsidRDefault="009C0C10" w:rsidP="009C0C10">
      <w:pPr>
        <w:pStyle w:val="Listeavsnitt1"/>
        <w:ind w:left="0"/>
      </w:pPr>
      <w:r>
        <w:t xml:space="preserve">To ensure that the MFI achieves both objectives, it needs properly designed incentive schemes. The main question is how incentives should be designed such that financial sustainability is stimulated </w:t>
      </w:r>
      <w:r>
        <w:lastRenderedPageBreak/>
        <w:t>while social goals are not undermined. The current theoretical literature almost exclusively focuses on incentive issues between borrowers and lenders, mostly in the context of group lending, like explaining how joint liability lending solves asymmetric information problems (see e.g. Banerjee et al., 1994; Ghatak, 2000; Gangopadhyay, Ghatak, and Lensink, 2005; Ghatak, and Guinnane, 1999; Laffont, 2003; Stiglitz, 1990)</w:t>
      </w:r>
      <w:r w:rsidRPr="00B52256">
        <w:t>.</w:t>
      </w:r>
      <w:r w:rsidRPr="00EF7B5C">
        <w:t xml:space="preserve"> </w:t>
      </w:r>
      <w:r>
        <w:t xml:space="preserve">Group lending is a lending contract in which group lenders are required to guarantee each other’s loan repayments; they have joint liability. When lender’s are jointly liable, </w:t>
      </w:r>
      <w:r w:rsidRPr="00EF7B5C">
        <w:t xml:space="preserve">to peer monitoring </w:t>
      </w:r>
      <w:r>
        <w:t xml:space="preserve">and peer selection </w:t>
      </w:r>
      <w:r w:rsidRPr="00EF7B5C">
        <w:t xml:space="preserve">help overcome </w:t>
      </w:r>
      <w:r>
        <w:t xml:space="preserve">adverse selection and </w:t>
      </w:r>
      <w:r w:rsidRPr="00EF7B5C">
        <w:t>moral hazard problems</w:t>
      </w:r>
      <w:r>
        <w:t xml:space="preserve">, which </w:t>
      </w:r>
      <w:r w:rsidRPr="00EF7B5C">
        <w:t>reduce</w:t>
      </w:r>
      <w:r>
        <w:t>s</w:t>
      </w:r>
      <w:r w:rsidRPr="00EF7B5C">
        <w:t xml:space="preserve"> </w:t>
      </w:r>
      <w:r>
        <w:t xml:space="preserve">a </w:t>
      </w:r>
      <w:r w:rsidRPr="00EF7B5C">
        <w:t>lender</w:t>
      </w:r>
      <w:r>
        <w:t>’s</w:t>
      </w:r>
      <w:r w:rsidRPr="00EF7B5C">
        <w:t xml:space="preserve"> agency costs</w:t>
      </w:r>
      <w:r w:rsidRPr="00BC7009">
        <w:t>.</w:t>
      </w:r>
      <w:r w:rsidRPr="008F2E87">
        <w:t xml:space="preserve"> </w:t>
      </w:r>
      <w:r w:rsidRPr="00BC7009">
        <w:t>There are also some</w:t>
      </w:r>
      <w:r>
        <w:t xml:space="preserve"> </w:t>
      </w:r>
      <w:r w:rsidRPr="00BC7009">
        <w:t>papers that focus on other characteristics of group lending schemes. Chowdury (2005,</w:t>
      </w:r>
      <w:r>
        <w:t xml:space="preserve"> </w:t>
      </w:r>
      <w:r w:rsidRPr="00BC7009">
        <w:t>2007) and Guttman (2008), for instance, deal with the dynamic incentive aspects of group</w:t>
      </w:r>
      <w:r>
        <w:t xml:space="preserve"> </w:t>
      </w:r>
      <w:r w:rsidRPr="00BC7009">
        <w:t>schemes.</w:t>
      </w:r>
      <w:r>
        <w:t xml:space="preserve"> So t</w:t>
      </w:r>
      <w:r w:rsidRPr="00F836E8">
        <w:t xml:space="preserve">he existing </w:t>
      </w:r>
      <w:r>
        <w:t xml:space="preserve">“incentive” </w:t>
      </w:r>
      <w:r w:rsidRPr="00F836E8">
        <w:t xml:space="preserve">literature on microfinance focuses almost entirely on </w:t>
      </w:r>
      <w:r>
        <w:t xml:space="preserve">reducing asymmetric information problems in the context of </w:t>
      </w:r>
      <w:r w:rsidRPr="00F836E8">
        <w:t xml:space="preserve">group lending, while </w:t>
      </w:r>
      <w:r>
        <w:t xml:space="preserve">it </w:t>
      </w:r>
      <w:r w:rsidRPr="00F836E8">
        <w:t>hardly pay</w:t>
      </w:r>
      <w:r>
        <w:t>s</w:t>
      </w:r>
      <w:r w:rsidRPr="00F836E8">
        <w:t xml:space="preserve"> attention to </w:t>
      </w:r>
      <w:r>
        <w:t xml:space="preserve">the incentive schemes the board gives to loan managers. </w:t>
      </w:r>
    </w:p>
    <w:p w:rsidR="009C0C10" w:rsidRDefault="009C0C10" w:rsidP="009C0C10">
      <w:pPr>
        <w:pStyle w:val="Listeavsnitt1"/>
        <w:ind w:left="0"/>
      </w:pPr>
    </w:p>
    <w:p w:rsidR="009C0C10" w:rsidRDefault="009C0C10" w:rsidP="009C0C10">
      <w:pPr>
        <w:pStyle w:val="Listeavsnitt1"/>
        <w:ind w:left="0"/>
      </w:pPr>
      <w:r>
        <w:t xml:space="preserve">Another distinguishing feature is that most MFI clients lack </w:t>
      </w:r>
      <w:r w:rsidRPr="00525886">
        <w:t>a wage earner</w:t>
      </w:r>
      <w:r>
        <w:t xml:space="preserve">’s </w:t>
      </w:r>
      <w:r w:rsidRPr="00525886">
        <w:t>stable income</w:t>
      </w:r>
      <w:r>
        <w:t>. They often operate in the informal sector, which offers variable and uncertain income flows. Moreover, most MFI clients lack collateral, which implies that MFIs need to develop other instruments to ensure repayment. Usually, the m</w:t>
      </w:r>
      <w:r w:rsidRPr="00525886">
        <w:t>icrocredit methodology is based on a field evaluation of the client’s character and ability to pay</w:t>
      </w:r>
      <w:r>
        <w:t>.</w:t>
      </w:r>
      <w:r w:rsidRPr="00525886">
        <w:t xml:space="preserve"> </w:t>
      </w:r>
      <w:r>
        <w:t xml:space="preserve">Related to the type of clients, the products that most MFIs traditionally offer are very different from normal bank loans. In particular, lenders typically take repeated loans which are </w:t>
      </w:r>
      <w:r w:rsidRPr="00525886">
        <w:t>unsecured</w:t>
      </w:r>
      <w:r>
        <w:t>, small and</w:t>
      </w:r>
      <w:r w:rsidRPr="00525886">
        <w:t xml:space="preserve"> short term</w:t>
      </w:r>
      <w:r>
        <w:t xml:space="preserve">. </w:t>
      </w:r>
    </w:p>
    <w:p w:rsidR="009C0C10" w:rsidRDefault="009C0C10" w:rsidP="009C0C10">
      <w:pPr>
        <w:pStyle w:val="Listeavsnitt1"/>
        <w:ind w:left="0"/>
      </w:pPr>
    </w:p>
    <w:p w:rsidR="009C0C10" w:rsidRDefault="009C0C10" w:rsidP="009C0C10">
      <w:pPr>
        <w:pStyle w:val="Listeavsnitt1"/>
        <w:ind w:left="0"/>
      </w:pPr>
      <w:r>
        <w:t>When there are many MFIs operating in a region</w:t>
      </w:r>
      <w:r w:rsidR="00D03C1E">
        <w:t>,</w:t>
      </w:r>
      <w:r>
        <w:t xml:space="preserve"> staff incentives can have </w:t>
      </w:r>
      <w:r w:rsidR="00D03C1E">
        <w:t>perverse consequences like over</w:t>
      </w:r>
      <w:r>
        <w:t xml:space="preserve">indebted clients and excessive peer pressure. The theoretical literature lacks analyses on the adverse effects of peer pressure in group lending. While group lending theories help explain why poor customers repay their loans to MFIs, the theories make little attempt to explain how excessive peer pressure could push non performing group members into increased misery. For MFIs that want to improve the lives of the poor excessive intra-group peer pressure constitutes a governance problem which existing theories fail to explain. How can the MFI design incentive structures for its staff and its </w:t>
      </w:r>
      <w:r>
        <w:lastRenderedPageBreak/>
        <w:t xml:space="preserve">credit groups that assure loan repayment without introducing excessive enforcement methods? This is especially important for lenders that take uncollateralized loans in markets where customer protection is inexistent. Under such condition an unpaid loan can easily lead to excessive peer pressure.   </w:t>
      </w:r>
    </w:p>
    <w:p w:rsidR="009C0C10" w:rsidRDefault="009C0C10" w:rsidP="009C0C10">
      <w:pPr>
        <w:pStyle w:val="Listeavsnitt1"/>
        <w:ind w:left="0"/>
      </w:pPr>
    </w:p>
    <w:p w:rsidR="009C0C10" w:rsidRDefault="009C0C10" w:rsidP="009C0C10">
      <w:pPr>
        <w:pStyle w:val="Listeavsnitt1"/>
        <w:ind w:left="0"/>
      </w:pPr>
      <w:r>
        <w:t>Probably the most important distinction of MFIs with obvious implications for the governance system is that m</w:t>
      </w:r>
      <w:r w:rsidRPr="00B90E1C">
        <w:t>ost microlenders pursue both financial and social objectives.</w:t>
      </w:r>
      <w:r>
        <w:t xml:space="preserve"> On the one hand, they try to contribute to development and poverty reduction, which involves reaching more clients and poorer clients. On the other </w:t>
      </w:r>
      <w:r w:rsidRPr="00AF48C3">
        <w:t xml:space="preserve">hand, MFIs want to be financial sustainable and become independent from donors. </w:t>
      </w:r>
      <w:r>
        <w:t xml:space="preserve"> C</w:t>
      </w:r>
      <w:r w:rsidRPr="006E6EAB">
        <w:t>ontrolling an organization with dual objectives is more difficult than controlling one solely dedicated to profits</w:t>
      </w:r>
      <w:r>
        <w:t>, especially when we take into account that Hermes et al. (</w:t>
      </w:r>
      <w:r w:rsidRPr="006E6EAB">
        <w:t>2011</w:t>
      </w:r>
      <w:r>
        <w:t>b) find that there is a trade-off between these objectives</w:t>
      </w:r>
      <w:r w:rsidRPr="006E6EAB">
        <w:t>.</w:t>
      </w:r>
      <w:r>
        <w:t xml:space="preserve"> </w:t>
      </w:r>
    </w:p>
    <w:p w:rsidR="009C0C10" w:rsidRDefault="009C0C10" w:rsidP="009C0C10">
      <w:pPr>
        <w:pStyle w:val="Listeavsnitt1"/>
        <w:ind w:left="360"/>
      </w:pPr>
    </w:p>
    <w:p w:rsidR="009C0C10" w:rsidRDefault="009C0C10" w:rsidP="009C0C10">
      <w:pPr>
        <w:pStyle w:val="Listeavsnitt1"/>
        <w:ind w:left="0"/>
      </w:pPr>
      <w:r>
        <w:t xml:space="preserve">A difficulty MFIs face in designing optimal incentive schemes is that their two aims often conflict. </w:t>
      </w:r>
      <w:r w:rsidRPr="006E6EAB">
        <w:t>Th</w:t>
      </w:r>
      <w:r>
        <w:t>e</w:t>
      </w:r>
      <w:r w:rsidRPr="006E6EAB">
        <w:t xml:space="preserve"> trade-off </w:t>
      </w:r>
      <w:r>
        <w:t xml:space="preserve">between the social and financial performance </w:t>
      </w:r>
      <w:r w:rsidRPr="006E6EAB">
        <w:t xml:space="preserve">implies that MFI managers can justify their bad performance on one criterion by referring to the other; poor financial performance could be attributed to the MFI’s social mission, especially because social performance is so difficult to measure. This problem is well known </w:t>
      </w:r>
      <w:r>
        <w:t xml:space="preserve">in </w:t>
      </w:r>
      <w:r w:rsidRPr="006E6EAB">
        <w:t xml:space="preserve">multitask agency theory but difficult to solve. </w:t>
      </w:r>
      <w:r>
        <w:t xml:space="preserve"> </w:t>
      </w:r>
      <w:r w:rsidRPr="006E6EAB">
        <w:t>Holmstrom and Milgrom (1991)</w:t>
      </w:r>
      <w:r>
        <w:t xml:space="preserve">, for instance, </w:t>
      </w:r>
      <w:r w:rsidRPr="006E6EAB">
        <w:t>show that it is suboptimal to offer variable incentive schemes to the CEO when the firm has dual objectives, one of which is difficult to measure.</w:t>
      </w:r>
      <w:r>
        <w:t xml:space="preserve"> It is, however, not clear to what extent the insights of </w:t>
      </w:r>
      <w:r w:rsidRPr="006E6EAB">
        <w:t>Holmstrom and Milgrom (1991)</w:t>
      </w:r>
      <w:r>
        <w:t xml:space="preserve"> directly apply to MFIs. </w:t>
      </w:r>
      <w:r w:rsidRPr="006E6EAB">
        <w:t xml:space="preserve"> </w:t>
      </w:r>
      <w:r>
        <w:t xml:space="preserve">Relatedly, </w:t>
      </w:r>
      <w:r w:rsidRPr="006E6EAB">
        <w:t>Hartarska (2005) reveals that performance-based compensation schemes are not associated with better performance.</w:t>
      </w:r>
      <w:r>
        <w:t xml:space="preserve"> In addition, </w:t>
      </w:r>
      <w:r w:rsidRPr="006E6EAB">
        <w:t>variable incentive schemes are often forbidden by NGOs</w:t>
      </w:r>
      <w:r>
        <w:t>, so that e</w:t>
      </w:r>
      <w:r w:rsidRPr="006E6EAB">
        <w:t>ven if social performance could be measured easily</w:t>
      </w:r>
      <w:r>
        <w:t xml:space="preserve"> an optimal incentive scheme cannot be developed (Hartarska, 2005)</w:t>
      </w:r>
      <w:r w:rsidRPr="006E6EAB">
        <w:t>.</w:t>
      </w:r>
      <w:r>
        <w:t xml:space="preserve"> </w:t>
      </w:r>
    </w:p>
    <w:p w:rsidR="009C0C10" w:rsidRDefault="009C0C10" w:rsidP="009C0C10">
      <w:pPr>
        <w:pStyle w:val="Listeavsnitt1"/>
        <w:ind w:left="360"/>
      </w:pPr>
    </w:p>
    <w:p w:rsidR="009C0C10" w:rsidRDefault="009C0C10" w:rsidP="009C0C10">
      <w:pPr>
        <w:pStyle w:val="Listeavsnitt1"/>
        <w:ind w:left="0"/>
      </w:pPr>
      <w:r>
        <w:t xml:space="preserve">A possible solution to the multitask-incentive problem is to make different staff responsible for different tasks and reward them accordingly, i.e. to seek for “functional specialization” (Dewatripont, Jewitt, and Tirole, 1999). In addition, functional specialization matches staff to the tasks in which they </w:t>
      </w:r>
      <w:r>
        <w:lastRenderedPageBreak/>
        <w:t xml:space="preserve">have a comparative advantage. For example, loan officers of ASA, one of the major MFIs in </w:t>
      </w:r>
      <w:smartTag w:uri="urn:schemas-microsoft-com:office:smarttags" w:element="place">
        <w:smartTag w:uri="urn:schemas-microsoft-com:office:smarttags" w:element="country-region">
          <w:r>
            <w:t>Bangladesh</w:t>
          </w:r>
        </w:smartTag>
      </w:smartTag>
      <w:r>
        <w:t xml:space="preserve">, only provide basic financial services; while better educated staff provides training sessions (see Armendariz and Morduch, 2010, p. 368). </w:t>
      </w:r>
    </w:p>
    <w:p w:rsidR="009C0C10" w:rsidRDefault="009C0C10" w:rsidP="009C0C10">
      <w:pPr>
        <w:pStyle w:val="Listeavsnitt1"/>
      </w:pPr>
    </w:p>
    <w:p w:rsidR="009C0C10" w:rsidRDefault="009C0C10" w:rsidP="009C0C10">
      <w:pPr>
        <w:pStyle w:val="Listeavsnitt1"/>
        <w:ind w:left="0"/>
      </w:pPr>
      <w:r>
        <w:t xml:space="preserve">Despite the importance of MFI incentive structures there is almost no scientific literature available that deals with topic. The only literature on staff incentives are case-studies from which it is hard to draw any general lessons. Many for profit MFIs have now introduced bonuses for their agents based on repayment rates. These bonuses are often based on individual incentives, such as bonuses related to the percentage of the portfolio not at risk, the number of clients, and the value of the outstanding loan portfolio. A drawback of individual monetary incentives may be that they can conflict with attempts to build social cohesion within an MFI. Therefore, sometimes incentives based on branch performance or performance of the entire institutions is introduced. Obviously, incentives at the higher level may lead to free-riding problems, and hence work less efficiently. For this reason, Bank Rakyat Indonesia (BRI) has introduced incentives at the individual, branch and institution-wide level.  In particular, staff of BRI receives a bonuses that depends on the profit of their unit, the entire bank and the value of collected but already written off loans. (see Armendariz and Morduch, 2010, p. 364).  </w:t>
      </w:r>
    </w:p>
    <w:p w:rsidR="00341382" w:rsidRDefault="00341382" w:rsidP="009C0C10">
      <w:pPr>
        <w:pStyle w:val="Listeavsnitt1"/>
        <w:ind w:left="0"/>
      </w:pPr>
    </w:p>
    <w:p w:rsidR="00D03C1E" w:rsidRPr="00D03C1E" w:rsidRDefault="00D03C1E" w:rsidP="00341382">
      <w:pPr>
        <w:pStyle w:val="Listeavsnitt1"/>
        <w:ind w:left="0"/>
        <w:rPr>
          <w:i/>
        </w:rPr>
      </w:pPr>
      <w:r w:rsidRPr="00D03C1E">
        <w:rPr>
          <w:i/>
        </w:rPr>
        <w:t xml:space="preserve">How funding determines governance </w:t>
      </w:r>
    </w:p>
    <w:p w:rsidR="00CA555F" w:rsidRDefault="00CA555F" w:rsidP="00341382">
      <w:pPr>
        <w:pStyle w:val="Listeavsnitt1"/>
        <w:ind w:left="0"/>
      </w:pPr>
      <w:r>
        <w:t>The standard view in economics regarding fiduciary duties is that directors owe fiducia</w:t>
      </w:r>
      <w:r w:rsidR="00B00386">
        <w:t>ry duties only to shareholders, as shareholders are the residual claimants with the appropriate incentives to make decisions in the</w:t>
      </w:r>
      <w:r w:rsidR="003D2B1F">
        <w:t xml:space="preserve"> corporation’s </w:t>
      </w:r>
      <w:r w:rsidR="00B00386">
        <w:t xml:space="preserve">best interest. Still, in every </w:t>
      </w:r>
      <w:r w:rsidR="003D2B1F">
        <w:t xml:space="preserve">corporation </w:t>
      </w:r>
      <w:r w:rsidR="00B00386">
        <w:t>there is a conflict of interest between shareholders and debt holders. Shareholders are interested in increasing risk, while debt holders want to decrease risk as the extra risk gives them no additional returns.</w:t>
      </w:r>
      <w:r w:rsidR="00D73197">
        <w:t xml:space="preserve"> In microfinance there is potentially an additional conflict between those who provide funds with a social motive (e.g. non-commercial investment and donations) and those that provide commercial funds. </w:t>
      </w:r>
      <w:r w:rsidR="003D2B1F">
        <w:t xml:space="preserve">Compared to corporations, microfinance boards face a more difficult task, because in their fiduciary duties they have to </w:t>
      </w:r>
      <w:r w:rsidR="00F15DCD">
        <w:t>strike the right balance between</w:t>
      </w:r>
      <w:r w:rsidR="003D2B1F">
        <w:t xml:space="preserve"> multiple interests</w:t>
      </w:r>
      <w:r w:rsidR="00F15DCD">
        <w:t>.</w:t>
      </w:r>
      <w:r w:rsidR="003D2B1F">
        <w:t xml:space="preserve"> Boards have some discretion in deciding </w:t>
      </w:r>
      <w:r w:rsidR="003D2B1F">
        <w:lastRenderedPageBreak/>
        <w:t xml:space="preserve">which interests are more important, but logically they give priority to those that provide the most funds. </w:t>
      </w:r>
    </w:p>
    <w:p w:rsidR="003D2B1F" w:rsidRDefault="003D2B1F" w:rsidP="00341382">
      <w:pPr>
        <w:pStyle w:val="Listeavsnitt1"/>
        <w:ind w:left="0"/>
      </w:pPr>
    </w:p>
    <w:p w:rsidR="003D2B1F" w:rsidRDefault="003D2B1F" w:rsidP="003D2B1F">
      <w:pPr>
        <w:pStyle w:val="Listeavsnitt1"/>
        <w:ind w:left="0"/>
      </w:pPr>
      <w:r>
        <w:t xml:space="preserve">The funding structure of MFIs is very different than that of corporations and also within the population of MFIs there are large differences. Cull et all. (2009) show </w:t>
      </w:r>
      <w:r w:rsidR="00D03C1E">
        <w:t xml:space="preserve">that </w:t>
      </w:r>
      <w:r>
        <w:t xml:space="preserve">equity represents only 13% of MFIs’ funding, whereas 26% consists of donations and 34% consists of borrowing (Cull et al., 2009), so unlike in corporations shareholders are much less important. Considering the different organizational types, banks </w:t>
      </w:r>
      <w:r w:rsidR="00E3105C">
        <w:t xml:space="preserve">and credit unions </w:t>
      </w:r>
      <w:r>
        <w:t>obtain most of their funding from deposits (71%</w:t>
      </w:r>
      <w:r w:rsidR="00E3105C">
        <w:t xml:space="preserve"> and 64%, respectively</w:t>
      </w:r>
      <w:r>
        <w:t>). NBFIs are often not allowed to take deposits, so they obtain most of their funds from commercial borrowing (28%)</w:t>
      </w:r>
      <w:r w:rsidR="00E3105C">
        <w:t xml:space="preserve"> and donations (23%)</w:t>
      </w:r>
      <w:r>
        <w:t>.</w:t>
      </w:r>
      <w:r w:rsidR="00E3105C">
        <w:t xml:space="preserve"> Finally, NGOs obtain most of their funds from donations (39%) and commercial borrowing (26%). Depending on its funding structure, each MFI type faces different governance issues. </w:t>
      </w:r>
    </w:p>
    <w:p w:rsidR="00CA555F" w:rsidRDefault="00CA555F" w:rsidP="00341382">
      <w:pPr>
        <w:pStyle w:val="Listeavsnitt1"/>
        <w:ind w:left="0"/>
      </w:pPr>
    </w:p>
    <w:p w:rsidR="00341382" w:rsidRDefault="00E3105C" w:rsidP="00341382">
      <w:pPr>
        <w:pStyle w:val="Listeavsnitt1"/>
        <w:ind w:left="0"/>
      </w:pPr>
      <w:r>
        <w:t xml:space="preserve">First, we consider banks. </w:t>
      </w:r>
      <w:r w:rsidR="00341382">
        <w:t xml:space="preserve">Empirical contributions on bank governance are to a large extent based on agency theory (e.g. Laeven and Levine, 2009). Shleiffer and Vishny (1997) conclude that legal protection of investors and some form of concentrated ownership are essential elements of a good corporate governance system. Although this works for corporations, Macey and O’Hara (2003) argue that special governance problems of banks weaken the case for giving shareholders so much power. In a corporation, debt holders have an incentive to limit risk-taking, for instance, by demanding a higher return when the firm is more levered. Banks are different in that their capital supply consists mainly out of deposits. Deposit insurance removes the incentive of the depositors to reduce risk and thereby increases the room for shareholders to push for higher risk-levels. This is confirmed by Laeven and Levine (2009) who find that deposit insurance increases risk when the bank has a large equity holder that has the power to act on the increased risk-taking incentives created by deposit insurance. In response, capital </w:t>
      </w:r>
      <w:r w:rsidR="00564AF7">
        <w:t xml:space="preserve">requirements </w:t>
      </w:r>
      <w:r w:rsidR="00341382">
        <w:t xml:space="preserve"> try to reduce shareholder’s risk-taking incentives by forcing owners to put more of their wealth at risk in the bank. Yet, Laeven and Levine (2009) find that capital regulations only increase bank risk, which they explain as being motivated by shareholder’s desire to compensate for the utility loss from capital </w:t>
      </w:r>
      <w:r w:rsidR="00564AF7">
        <w:t>requirements</w:t>
      </w:r>
      <w:r w:rsidR="00341382">
        <w:t xml:space="preserve">. </w:t>
      </w:r>
      <w:r>
        <w:t xml:space="preserve">Because of the excessive power of bank </w:t>
      </w:r>
      <w:r>
        <w:lastRenderedPageBreak/>
        <w:t xml:space="preserve">shareholders and </w:t>
      </w:r>
      <w:r w:rsidR="00BD3CD9">
        <w:t>the public’s desire for a save banking system, Macey and O’Hara (2003) argue that boards should weigh the interests of debt holders and depositors more heavily in their fiduciary duties.</w:t>
      </w:r>
    </w:p>
    <w:p w:rsidR="00A81166" w:rsidRDefault="00A81166" w:rsidP="00341382">
      <w:pPr>
        <w:pStyle w:val="Listeavsnitt1"/>
        <w:ind w:left="0"/>
      </w:pPr>
    </w:p>
    <w:p w:rsidR="00341382" w:rsidRDefault="00A81166" w:rsidP="009C0C10">
      <w:pPr>
        <w:pStyle w:val="Listeavsnitt1"/>
        <w:ind w:left="0"/>
      </w:pPr>
      <w:r>
        <w:t xml:space="preserve">To some extent, lessons can be learned from credit unions which are owned by their members–savers and borrowers–and </w:t>
      </w:r>
      <w:r w:rsidR="00D03C1E">
        <w:t xml:space="preserve">who </w:t>
      </w:r>
      <w:r>
        <w:t xml:space="preserve">often also have other stakeholders like employees and donors on their board. Like banks, NBFIs are often for-profit institutions. Yet, their funding structure is very different: most of them are not allowed to take deposits, so they rely much more on debt and donations. </w:t>
      </w:r>
      <w:r w:rsidR="00564AF7">
        <w:t>To some extent this alleviates problems associated with deposit insurance and capital requirements, but it also creates possible conflicts between commercial debt holders and donors.</w:t>
      </w:r>
      <w:r w:rsidR="007B0CC3">
        <w:t xml:space="preserve"> Donors want MFIs to reach out to the poorest clients which</w:t>
      </w:r>
      <w:r w:rsidR="00456617">
        <w:t xml:space="preserve"> involves extra costs and risks, whereas debt holders want a save return on their investment. </w:t>
      </w:r>
      <w:r w:rsidR="00BF35A9">
        <w:t>This problem is more severe for debt holders of NGOs, who focus on even poorer clients than the NBFI.</w:t>
      </w:r>
    </w:p>
    <w:p w:rsidR="00D04122" w:rsidRDefault="00D04122" w:rsidP="00D04122">
      <w:pPr>
        <w:pStyle w:val="Listeavsnitt1"/>
        <w:ind w:left="0"/>
      </w:pPr>
    </w:p>
    <w:p w:rsidR="00356CCA" w:rsidRPr="00A82BC0" w:rsidRDefault="00AD0264" w:rsidP="00AD0264">
      <w:pPr>
        <w:pStyle w:val="Listeavsnitt1"/>
        <w:ind w:left="0"/>
        <w:rPr>
          <w:b/>
        </w:rPr>
      </w:pPr>
      <w:r>
        <w:rPr>
          <w:b/>
        </w:rPr>
        <w:t xml:space="preserve">5. </w:t>
      </w:r>
      <w:r w:rsidR="00356CCA" w:rsidRPr="00A82BC0">
        <w:rPr>
          <w:b/>
        </w:rPr>
        <w:t>Conclusions</w:t>
      </w:r>
    </w:p>
    <w:p w:rsidR="00356CCA" w:rsidRDefault="00356CCA" w:rsidP="00AD0264">
      <w:pPr>
        <w:pStyle w:val="Listeavsnitt1"/>
        <w:ind w:left="0"/>
        <w:rPr>
          <w:sz w:val="23"/>
          <w:szCs w:val="23"/>
        </w:rPr>
      </w:pPr>
      <w:r>
        <w:rPr>
          <w:sz w:val="23"/>
          <w:szCs w:val="23"/>
        </w:rPr>
        <w:t xml:space="preserve">This </w:t>
      </w:r>
      <w:r w:rsidR="004F136E">
        <w:rPr>
          <w:sz w:val="23"/>
          <w:szCs w:val="23"/>
        </w:rPr>
        <w:t>chapter</w:t>
      </w:r>
      <w:r>
        <w:rPr>
          <w:sz w:val="23"/>
          <w:szCs w:val="23"/>
        </w:rPr>
        <w:t xml:space="preserve"> shows that the existing literature on governance and microfinance is small, and conflicting. Some studies find that governance issues are rather unimportant for MFI performance, others come to the opposite conclusion. These results call for much more studies on governance and microfinance in order to come to a definitive view on how governance affects MFIs. We have made a first step by providing some new empirical support for the view that larger boards reduce risk taking of MFIs. </w:t>
      </w:r>
    </w:p>
    <w:p w:rsidR="00356CCA" w:rsidRDefault="00356CCA" w:rsidP="00205E9D">
      <w:pPr>
        <w:pStyle w:val="Listeavsnitt1"/>
        <w:ind w:left="360"/>
        <w:rPr>
          <w:sz w:val="23"/>
          <w:szCs w:val="23"/>
        </w:rPr>
      </w:pPr>
    </w:p>
    <w:p w:rsidR="00356CCA" w:rsidRDefault="00485CAC" w:rsidP="00AD0264">
      <w:pPr>
        <w:pStyle w:val="Listeavsnitt1"/>
        <w:ind w:left="0"/>
        <w:rPr>
          <w:sz w:val="23"/>
          <w:szCs w:val="23"/>
        </w:rPr>
      </w:pPr>
      <w:r>
        <w:rPr>
          <w:sz w:val="23"/>
          <w:szCs w:val="23"/>
        </w:rPr>
        <w:t xml:space="preserve">The unequivocal results of existing </w:t>
      </w:r>
      <w:r w:rsidR="00356CCA">
        <w:rPr>
          <w:sz w:val="23"/>
          <w:szCs w:val="23"/>
        </w:rPr>
        <w:t xml:space="preserve">empirical studies </w:t>
      </w:r>
      <w:r>
        <w:rPr>
          <w:sz w:val="23"/>
          <w:szCs w:val="23"/>
        </w:rPr>
        <w:t xml:space="preserve">could indicate that we currently lack </w:t>
      </w:r>
      <w:r w:rsidR="00356CCA">
        <w:rPr>
          <w:sz w:val="23"/>
          <w:szCs w:val="23"/>
        </w:rPr>
        <w:t xml:space="preserve">good theoretical </w:t>
      </w:r>
      <w:r>
        <w:rPr>
          <w:sz w:val="23"/>
          <w:szCs w:val="23"/>
        </w:rPr>
        <w:t>models that allow us to test the right hypotheses</w:t>
      </w:r>
      <w:r w:rsidR="00356CCA">
        <w:rPr>
          <w:sz w:val="23"/>
          <w:szCs w:val="23"/>
        </w:rPr>
        <w:t xml:space="preserve">. </w:t>
      </w:r>
      <w:r>
        <w:rPr>
          <w:sz w:val="23"/>
          <w:szCs w:val="23"/>
        </w:rPr>
        <w:t>Currently, m</w:t>
      </w:r>
      <w:r w:rsidR="00356CCA">
        <w:rPr>
          <w:sz w:val="23"/>
          <w:szCs w:val="23"/>
        </w:rPr>
        <w:t xml:space="preserve">ost empirical studies are explorative and </w:t>
      </w:r>
      <w:r>
        <w:rPr>
          <w:sz w:val="23"/>
          <w:szCs w:val="23"/>
        </w:rPr>
        <w:t xml:space="preserve">not based on </w:t>
      </w:r>
      <w:r w:rsidR="00356CCA">
        <w:rPr>
          <w:sz w:val="23"/>
          <w:szCs w:val="23"/>
        </w:rPr>
        <w:t>theories</w:t>
      </w:r>
      <w:r>
        <w:rPr>
          <w:sz w:val="23"/>
          <w:szCs w:val="23"/>
        </w:rPr>
        <w:t xml:space="preserve"> tailored to microfinance</w:t>
      </w:r>
      <w:r w:rsidR="00356CCA">
        <w:rPr>
          <w:sz w:val="23"/>
          <w:szCs w:val="23"/>
        </w:rPr>
        <w:t xml:space="preserve">. </w:t>
      </w:r>
      <w:r w:rsidR="004C3FE3">
        <w:rPr>
          <w:sz w:val="23"/>
          <w:szCs w:val="23"/>
        </w:rPr>
        <w:t>We plea for t</w:t>
      </w:r>
      <w:r w:rsidR="00356CCA">
        <w:rPr>
          <w:sz w:val="23"/>
          <w:szCs w:val="23"/>
        </w:rPr>
        <w:t>heoretical governance research</w:t>
      </w:r>
      <w:r w:rsidR="004C3FE3">
        <w:rPr>
          <w:sz w:val="23"/>
          <w:szCs w:val="23"/>
        </w:rPr>
        <w:t xml:space="preserve"> that</w:t>
      </w:r>
      <w:r w:rsidR="00356CCA">
        <w:rPr>
          <w:sz w:val="23"/>
          <w:szCs w:val="23"/>
        </w:rPr>
        <w:t xml:space="preserve"> consider</w:t>
      </w:r>
      <w:r w:rsidR="00D03C1E">
        <w:rPr>
          <w:sz w:val="23"/>
          <w:szCs w:val="23"/>
        </w:rPr>
        <w:t>s</w:t>
      </w:r>
      <w:r w:rsidR="00356CCA">
        <w:rPr>
          <w:sz w:val="23"/>
          <w:szCs w:val="23"/>
        </w:rPr>
        <w:t xml:space="preserve"> the specific features of MFIs</w:t>
      </w:r>
      <w:r w:rsidR="004C3FE3">
        <w:rPr>
          <w:sz w:val="23"/>
          <w:szCs w:val="23"/>
        </w:rPr>
        <w:t xml:space="preserve"> </w:t>
      </w:r>
      <w:r w:rsidR="00356CCA">
        <w:rPr>
          <w:sz w:val="23"/>
          <w:szCs w:val="23"/>
        </w:rPr>
        <w:t>we</w:t>
      </w:r>
      <w:r w:rsidR="004C3FE3">
        <w:rPr>
          <w:sz w:val="23"/>
          <w:szCs w:val="23"/>
        </w:rPr>
        <w:t xml:space="preserve"> discussed in chapter 4</w:t>
      </w:r>
      <w:r w:rsidR="00D03C1E">
        <w:rPr>
          <w:sz w:val="23"/>
          <w:szCs w:val="23"/>
        </w:rPr>
        <w:t xml:space="preserve">. </w:t>
      </w:r>
      <w:r w:rsidR="00356CCA">
        <w:rPr>
          <w:sz w:val="23"/>
          <w:szCs w:val="23"/>
        </w:rPr>
        <w:t xml:space="preserve"> </w:t>
      </w:r>
      <w:r w:rsidR="00D03C1E">
        <w:rPr>
          <w:sz w:val="23"/>
          <w:szCs w:val="23"/>
        </w:rPr>
        <w:t xml:space="preserve">This includes how to set optimal incentive structures given microfinance’s </w:t>
      </w:r>
      <w:r w:rsidR="00356CCA">
        <w:rPr>
          <w:sz w:val="23"/>
          <w:szCs w:val="23"/>
        </w:rPr>
        <w:t>the dual mission</w:t>
      </w:r>
      <w:r w:rsidR="00D03C1E">
        <w:rPr>
          <w:sz w:val="23"/>
          <w:szCs w:val="23"/>
        </w:rPr>
        <w:t xml:space="preserve"> and how to determine governance arrangement given MFIs’ different funding structures.</w:t>
      </w:r>
    </w:p>
    <w:p w:rsidR="00356CCA" w:rsidRDefault="00356CCA" w:rsidP="00205E9D">
      <w:pPr>
        <w:pStyle w:val="Listeavsnitt1"/>
        <w:ind w:left="360"/>
      </w:pPr>
    </w:p>
    <w:p w:rsidR="005077A3" w:rsidRDefault="00356CCA" w:rsidP="00AD0264">
      <w:pPr>
        <w:pStyle w:val="Listeavsnitt1"/>
        <w:ind w:left="0"/>
      </w:pPr>
      <w:r>
        <w:t>We end this chapter by referring to some recent developments in mic</w:t>
      </w:r>
      <w:r w:rsidR="00430E9B">
        <w:t>r</w:t>
      </w:r>
      <w:r>
        <w:t>ofinance that have important  implications for the governance system and should be taken into account in new  theoretical and empirical governance research. First, MFIs that t</w:t>
      </w:r>
      <w:r w:rsidRPr="00231B8B">
        <w:t>raditionally have been funded mainly by subsidies from private and public donors and aid organi</w:t>
      </w:r>
      <w:r>
        <w:t>z</w:t>
      </w:r>
      <w:r w:rsidRPr="00231B8B">
        <w:t>ations</w:t>
      </w:r>
      <w:r>
        <w:t xml:space="preserve">, </w:t>
      </w:r>
      <w:r w:rsidR="00D03C1E">
        <w:t>have</w:t>
      </w:r>
      <w:r w:rsidR="004C3FE3">
        <w:t xml:space="preserve"> </w:t>
      </w:r>
      <w:r>
        <w:t>start</w:t>
      </w:r>
      <w:r w:rsidR="004C3FE3">
        <w:t>ed</w:t>
      </w:r>
      <w:r>
        <w:t xml:space="preserve"> to commercialize and attract funds from private capital markets. </w:t>
      </w:r>
      <w:r w:rsidRPr="00C71F25">
        <w:t>Some microfinance institutions</w:t>
      </w:r>
      <w:r>
        <w:t>, such as</w:t>
      </w:r>
      <w:r w:rsidRPr="006A1B99">
        <w:t xml:space="preserve"> </w:t>
      </w:r>
      <w:r w:rsidRPr="00C71F25">
        <w:t xml:space="preserve">Compartamos in </w:t>
      </w:r>
      <w:smartTag w:uri="urn:schemas-microsoft-com:office:smarttags" w:element="country-region">
        <w:r w:rsidRPr="00C71F25">
          <w:t>Mexico</w:t>
        </w:r>
      </w:smartTag>
      <w:r>
        <w:t xml:space="preserve"> and SKS microfinance in </w:t>
      </w:r>
      <w:smartTag w:uri="urn:schemas-microsoft-com:office:smarttags" w:element="place">
        <w:smartTag w:uri="urn:schemas-microsoft-com:office:smarttags" w:element="country-region">
          <w:r>
            <w:t>India</w:t>
          </w:r>
        </w:smartTag>
      </w:smartTag>
      <w:r>
        <w:t xml:space="preserve">, </w:t>
      </w:r>
      <w:r w:rsidRPr="00C71F25">
        <w:t xml:space="preserve">have even gone public. </w:t>
      </w:r>
      <w:r>
        <w:t>The transformation of a traditional NGO into a listed company obviously has importan</w:t>
      </w:r>
      <w:r w:rsidR="005077A3">
        <w:t>t</w:t>
      </w:r>
      <w:r>
        <w:t xml:space="preserve"> governance implications. Second, MFIs </w:t>
      </w:r>
      <w:r w:rsidR="00D03C1E">
        <w:t xml:space="preserve">have </w:t>
      </w:r>
      <w:r>
        <w:t>started to</w:t>
      </w:r>
      <w:r w:rsidR="00D03C1E">
        <w:t xml:space="preserve"> become involved in other activities than lending</w:t>
      </w:r>
      <w:r>
        <w:t xml:space="preserve">. Whereas originally they were mainly focused on providing credit, nowadays </w:t>
      </w:r>
      <w:r w:rsidR="00D03C1E">
        <w:t xml:space="preserve">they are involved in </w:t>
      </w:r>
      <w:r>
        <w:t>micro savings, micro insurance, and financial literacy trainings</w:t>
      </w:r>
      <w:r w:rsidR="00D03C1E">
        <w:t>; and the list</w:t>
      </w:r>
      <w:r>
        <w:t xml:space="preserve"> is</w:t>
      </w:r>
      <w:r w:rsidR="00D03C1E">
        <w:t xml:space="preserve"> growing</w:t>
      </w:r>
      <w:r>
        <w:t xml:space="preserve">. In addition, new banking technology, such as charge cards, ATMs, </w:t>
      </w:r>
      <w:r w:rsidR="005077A3">
        <w:t xml:space="preserve">points of payments, </w:t>
      </w:r>
      <w:r>
        <w:t>the use of cell phones</w:t>
      </w:r>
      <w:r w:rsidR="005077A3">
        <w:t>,</w:t>
      </w:r>
      <w:r>
        <w:t xml:space="preserve"> and the internet has begun to enter the microfinance business. Finally, many governments in developing countries </w:t>
      </w:r>
      <w:r w:rsidR="005077A3">
        <w:t xml:space="preserve">have </w:t>
      </w:r>
      <w:r>
        <w:t>started installing regulations to help improv</w:t>
      </w:r>
      <w:r w:rsidR="00D03C1E">
        <w:t xml:space="preserve">e </w:t>
      </w:r>
      <w:r>
        <w:t xml:space="preserve">the stability of the microfinance business, which has far reaching consequences for the governance policies of MFIs.  </w:t>
      </w:r>
    </w:p>
    <w:p w:rsidR="005077A3" w:rsidRDefault="005077A3" w:rsidP="00205E9D">
      <w:pPr>
        <w:pStyle w:val="Listeavsnitt1"/>
        <w:ind w:left="360"/>
      </w:pPr>
    </w:p>
    <w:p w:rsidR="006A0158" w:rsidRDefault="005077A3" w:rsidP="00621DA7">
      <w:pPr>
        <w:pStyle w:val="Listeavsnitt1"/>
        <w:ind w:left="0"/>
      </w:pPr>
      <w:r>
        <w:t>In many ways microfinance represents the future of banking. Already more than 150 million people are loan clients in MFIs (</w:t>
      </w:r>
      <w:hyperlink r:id="rId11" w:history="1">
        <w:r w:rsidRPr="006D7986">
          <w:rPr>
            <w:rStyle w:val="Hyperkobling"/>
          </w:rPr>
          <w:t>www.microcreditsummit.org</w:t>
        </w:r>
      </w:hyperlink>
      <w:r>
        <w:t xml:space="preserve">) and many </w:t>
      </w:r>
      <w:r w:rsidR="00D03C1E">
        <w:t xml:space="preserve">are starting to open </w:t>
      </w:r>
      <w:r>
        <w:t xml:space="preserve">savings account </w:t>
      </w:r>
      <w:r w:rsidR="00D03C1E">
        <w:t xml:space="preserve">as well </w:t>
      </w:r>
      <w:r>
        <w:t xml:space="preserve">(Christen et al., 2004). In the years to come the number of microfinance customers will probably by far outnumber the number of customers in traditional banks. This implies important responsibilities for microfinance actors which need to be handled through proper governance systems. </w:t>
      </w:r>
    </w:p>
    <w:p w:rsidR="00621DA7" w:rsidRDefault="006A0158" w:rsidP="00621DA7">
      <w:pPr>
        <w:pStyle w:val="Listeavsnitt1"/>
        <w:ind w:left="0"/>
      </w:pPr>
      <w:r>
        <w:br w:type="page"/>
      </w:r>
    </w:p>
    <w:tbl>
      <w:tblPr>
        <w:tblpPr w:leftFromText="180" w:rightFromText="180" w:vertAnchor="text" w:horzAnchor="margin" w:tblpXSpec="center" w:tblpY="175"/>
        <w:tblW w:w="7654" w:type="dxa"/>
        <w:tblBorders>
          <w:top w:val="double" w:sz="6" w:space="0" w:color="1F497D"/>
          <w:left w:val="double" w:sz="6" w:space="0" w:color="1F497D"/>
          <w:bottom w:val="double" w:sz="6" w:space="0" w:color="1F497D"/>
          <w:right w:val="double" w:sz="6" w:space="0" w:color="1F497D"/>
          <w:insideH w:val="single" w:sz="6" w:space="0" w:color="1F497D"/>
          <w:insideV w:val="single" w:sz="6" w:space="0" w:color="1F497D"/>
        </w:tblBorders>
        <w:tblLook w:val="0000" w:firstRow="0" w:lastRow="0" w:firstColumn="0" w:lastColumn="0" w:noHBand="0" w:noVBand="0"/>
      </w:tblPr>
      <w:tblGrid>
        <w:gridCol w:w="2301"/>
        <w:gridCol w:w="5353"/>
      </w:tblGrid>
      <w:tr w:rsidR="00621DA7" w:rsidRPr="00C34718" w:rsidTr="00A65CB0">
        <w:trPr>
          <w:trHeight w:val="375"/>
        </w:trPr>
        <w:tc>
          <w:tcPr>
            <w:tcW w:w="7654" w:type="dxa"/>
            <w:gridSpan w:val="2"/>
            <w:tcBorders>
              <w:top w:val="double" w:sz="6" w:space="0" w:color="1F497D"/>
            </w:tcBorders>
            <w:noWrap/>
          </w:tcPr>
          <w:p w:rsidR="00621DA7" w:rsidRPr="00C34718" w:rsidRDefault="00621DA7" w:rsidP="00A65CB0">
            <w:pPr>
              <w:spacing w:line="240" w:lineRule="auto"/>
              <w:rPr>
                <w:rFonts w:ascii="Sylfaen" w:hAnsi="Sylfaen"/>
                <w:b/>
                <w:bCs/>
                <w:color w:val="000000"/>
              </w:rPr>
            </w:pPr>
            <w:r w:rsidRPr="00C34718">
              <w:rPr>
                <w:rFonts w:ascii="Sylfaen" w:hAnsi="Sylfaen"/>
                <w:b/>
                <w:bCs/>
                <w:color w:val="000000"/>
                <w:szCs w:val="22"/>
              </w:rPr>
              <w:lastRenderedPageBreak/>
              <w:t>Table 1. Definition of Microfinance Institutions (MFIs) according to ownership type</w:t>
            </w:r>
          </w:p>
        </w:tc>
      </w:tr>
      <w:tr w:rsidR="00621DA7" w:rsidRPr="00C34718" w:rsidTr="00A65CB0">
        <w:trPr>
          <w:trHeight w:val="357"/>
        </w:trPr>
        <w:tc>
          <w:tcPr>
            <w:tcW w:w="2301" w:type="dxa"/>
            <w:noWrap/>
          </w:tcPr>
          <w:p w:rsidR="00621DA7" w:rsidRPr="00C34718" w:rsidRDefault="00621DA7" w:rsidP="00A65CB0">
            <w:pPr>
              <w:spacing w:line="240" w:lineRule="auto"/>
              <w:jc w:val="center"/>
              <w:rPr>
                <w:rFonts w:ascii="Sylfaen" w:hAnsi="Sylfaen"/>
                <w:color w:val="000000"/>
              </w:rPr>
            </w:pPr>
            <w:r w:rsidRPr="00C34718">
              <w:rPr>
                <w:rFonts w:ascii="Sylfaen" w:hAnsi="Sylfaen"/>
                <w:color w:val="000000"/>
                <w:szCs w:val="22"/>
              </w:rPr>
              <w:t xml:space="preserve">Non-Governmental Organization </w:t>
            </w:r>
          </w:p>
          <w:p w:rsidR="00621DA7" w:rsidRPr="00C34718" w:rsidRDefault="00621DA7" w:rsidP="00A65CB0">
            <w:pPr>
              <w:spacing w:line="240" w:lineRule="auto"/>
              <w:jc w:val="center"/>
              <w:rPr>
                <w:rFonts w:ascii="Sylfaen" w:hAnsi="Sylfaen"/>
                <w:color w:val="000000"/>
              </w:rPr>
            </w:pPr>
            <w:r w:rsidRPr="00C34718">
              <w:rPr>
                <w:rFonts w:ascii="Sylfaen" w:hAnsi="Sylfaen"/>
                <w:color w:val="000000"/>
                <w:szCs w:val="22"/>
              </w:rPr>
              <w:t>(NGO)</w:t>
            </w:r>
          </w:p>
        </w:tc>
        <w:tc>
          <w:tcPr>
            <w:tcW w:w="5353" w:type="dxa"/>
            <w:noWrap/>
          </w:tcPr>
          <w:p w:rsidR="00621DA7" w:rsidRPr="00C34718" w:rsidRDefault="00621DA7" w:rsidP="00A65CB0">
            <w:pPr>
              <w:spacing w:line="240" w:lineRule="auto"/>
              <w:rPr>
                <w:rFonts w:ascii="Sylfaen" w:hAnsi="Sylfaen"/>
                <w:color w:val="000000"/>
              </w:rPr>
            </w:pPr>
            <w:r w:rsidRPr="00C34718">
              <w:rPr>
                <w:rFonts w:ascii="Sylfaen" w:hAnsi="Sylfaen"/>
                <w:color w:val="000000"/>
                <w:szCs w:val="22"/>
              </w:rPr>
              <w:t>An organization registered as a nonprofit for tax purposes or some other legal charter. Its financial services are usually more restricted, usually not including deposit taking.  These institutions are typically not regulated by a banking supervisory agency.</w:t>
            </w:r>
          </w:p>
        </w:tc>
      </w:tr>
      <w:tr w:rsidR="00621DA7" w:rsidRPr="00C34718" w:rsidTr="00A65CB0">
        <w:trPr>
          <w:trHeight w:val="357"/>
        </w:trPr>
        <w:tc>
          <w:tcPr>
            <w:tcW w:w="2301" w:type="dxa"/>
            <w:noWrap/>
          </w:tcPr>
          <w:p w:rsidR="00621DA7" w:rsidRPr="00542076" w:rsidRDefault="00621DA7" w:rsidP="00A65CB0">
            <w:pPr>
              <w:spacing w:line="240" w:lineRule="auto"/>
              <w:jc w:val="center"/>
              <w:rPr>
                <w:rFonts w:ascii="Sylfaen" w:hAnsi="Sylfaen"/>
                <w:color w:val="000000"/>
                <w:lang w:val="fr-FR"/>
              </w:rPr>
            </w:pPr>
            <w:r w:rsidRPr="00542076">
              <w:rPr>
                <w:rFonts w:ascii="Sylfaen" w:hAnsi="Sylfaen"/>
                <w:color w:val="000000"/>
                <w:szCs w:val="22"/>
                <w:lang w:val="fr-FR"/>
              </w:rPr>
              <w:t>Non-Bank Financial Institution (NBFI)</w:t>
            </w:r>
          </w:p>
        </w:tc>
        <w:tc>
          <w:tcPr>
            <w:tcW w:w="5353" w:type="dxa"/>
            <w:noWrap/>
          </w:tcPr>
          <w:p w:rsidR="00621DA7" w:rsidRPr="00C34718" w:rsidRDefault="00621DA7" w:rsidP="00A65CB0">
            <w:pPr>
              <w:spacing w:line="240" w:lineRule="auto"/>
              <w:rPr>
                <w:rFonts w:ascii="Sylfaen" w:hAnsi="Sylfaen"/>
                <w:color w:val="000000"/>
              </w:rPr>
            </w:pPr>
            <w:r w:rsidRPr="00C34718">
              <w:rPr>
                <w:rFonts w:ascii="Sylfaen" w:hAnsi="Sylfaen"/>
                <w:color w:val="000000"/>
                <w:szCs w:val="22"/>
              </w:rPr>
              <w:t>An institution that provides similar services to those of a bank, but is licensed under a separate category. The separate license may be due to lower capital requirements, to limitations on financial service offerings, or to supervision under a different state agency. In some countries this corresponds to a special category created for microfinance institutions.</w:t>
            </w:r>
          </w:p>
        </w:tc>
      </w:tr>
      <w:tr w:rsidR="00621DA7" w:rsidRPr="00C34718" w:rsidTr="00A65CB0">
        <w:trPr>
          <w:trHeight w:val="357"/>
        </w:trPr>
        <w:tc>
          <w:tcPr>
            <w:tcW w:w="2301" w:type="dxa"/>
            <w:noWrap/>
          </w:tcPr>
          <w:p w:rsidR="00621DA7" w:rsidRPr="00C34718" w:rsidRDefault="00621DA7" w:rsidP="00A65CB0">
            <w:pPr>
              <w:spacing w:line="240" w:lineRule="auto"/>
              <w:jc w:val="center"/>
              <w:rPr>
                <w:rFonts w:ascii="Sylfaen" w:hAnsi="Sylfaen"/>
                <w:color w:val="000000"/>
              </w:rPr>
            </w:pPr>
            <w:r w:rsidRPr="00C34718">
              <w:rPr>
                <w:rFonts w:ascii="Sylfaen" w:hAnsi="Sylfaen"/>
                <w:color w:val="000000"/>
                <w:szCs w:val="22"/>
              </w:rPr>
              <w:t xml:space="preserve">Cooperative/Credit </w:t>
            </w:r>
            <w:smartTag w:uri="urn:schemas-microsoft-com:office:smarttags" w:element="place">
              <w:r w:rsidRPr="00C34718">
                <w:rPr>
                  <w:rFonts w:ascii="Sylfaen" w:hAnsi="Sylfaen"/>
                  <w:color w:val="000000"/>
                  <w:szCs w:val="22"/>
                </w:rPr>
                <w:t>Union</w:t>
              </w:r>
            </w:smartTag>
          </w:p>
        </w:tc>
        <w:tc>
          <w:tcPr>
            <w:tcW w:w="5353" w:type="dxa"/>
            <w:noWrap/>
          </w:tcPr>
          <w:p w:rsidR="00621DA7" w:rsidRPr="00C34718" w:rsidRDefault="00621DA7" w:rsidP="00A65CB0">
            <w:pPr>
              <w:spacing w:line="240" w:lineRule="auto"/>
              <w:rPr>
                <w:rFonts w:ascii="Sylfaen" w:hAnsi="Sylfaen"/>
                <w:color w:val="000000"/>
              </w:rPr>
            </w:pPr>
            <w:r w:rsidRPr="00C34718">
              <w:rPr>
                <w:rFonts w:ascii="Sylfaen" w:hAnsi="Sylfaen"/>
                <w:color w:val="000000"/>
                <w:szCs w:val="22"/>
              </w:rPr>
              <w:t>A non-profit, member-base</w:t>
            </w:r>
            <w:r>
              <w:rPr>
                <w:rFonts w:ascii="Sylfaen" w:hAnsi="Sylfaen"/>
                <w:color w:val="000000"/>
                <w:szCs w:val="22"/>
              </w:rPr>
              <w:t>d</w:t>
            </w:r>
            <w:r w:rsidRPr="00C34718">
              <w:rPr>
                <w:rFonts w:ascii="Sylfaen" w:hAnsi="Sylfaen"/>
                <w:color w:val="000000"/>
                <w:szCs w:val="22"/>
              </w:rPr>
              <w:t xml:space="preserve"> financial intermediary. It may offer a range of financial services, including lending and deposit taking, for the benefit of its members. While not regulated by a state banking supervisory agency, it may come under the supervision of regional or national cooperative council. </w:t>
            </w:r>
          </w:p>
        </w:tc>
      </w:tr>
      <w:tr w:rsidR="00621DA7" w:rsidRPr="00C34718" w:rsidTr="00A65CB0">
        <w:trPr>
          <w:trHeight w:val="357"/>
        </w:trPr>
        <w:tc>
          <w:tcPr>
            <w:tcW w:w="2301" w:type="dxa"/>
            <w:noWrap/>
          </w:tcPr>
          <w:p w:rsidR="00621DA7" w:rsidRPr="00C34718" w:rsidRDefault="00621DA7" w:rsidP="00A65CB0">
            <w:pPr>
              <w:spacing w:line="240" w:lineRule="auto"/>
              <w:jc w:val="center"/>
              <w:rPr>
                <w:rFonts w:ascii="Sylfaen" w:hAnsi="Sylfaen"/>
                <w:color w:val="000000"/>
              </w:rPr>
            </w:pPr>
            <w:r w:rsidRPr="00C34718">
              <w:rPr>
                <w:rFonts w:ascii="Sylfaen" w:hAnsi="Sylfaen"/>
                <w:color w:val="000000"/>
                <w:szCs w:val="22"/>
              </w:rPr>
              <w:t>Bank</w:t>
            </w:r>
          </w:p>
        </w:tc>
        <w:tc>
          <w:tcPr>
            <w:tcW w:w="5353" w:type="dxa"/>
            <w:noWrap/>
          </w:tcPr>
          <w:p w:rsidR="00621DA7" w:rsidRPr="00C34718" w:rsidRDefault="00621DA7" w:rsidP="00A65CB0">
            <w:pPr>
              <w:spacing w:line="240" w:lineRule="auto"/>
              <w:rPr>
                <w:rFonts w:ascii="Sylfaen" w:hAnsi="Sylfaen"/>
                <w:color w:val="000000"/>
              </w:rPr>
            </w:pPr>
            <w:r w:rsidRPr="00C34718">
              <w:rPr>
                <w:rFonts w:ascii="Sylfaen" w:hAnsi="Sylfaen"/>
                <w:color w:val="000000"/>
                <w:szCs w:val="22"/>
              </w:rPr>
              <w:t>A licensed financial intermediary regulated by a state banking supervisory agency. It may provide any of a number of financial services, including: deposit taking, lending, payment services, and money transfers.</w:t>
            </w:r>
          </w:p>
        </w:tc>
      </w:tr>
      <w:tr w:rsidR="00621DA7" w:rsidRPr="00C34718" w:rsidTr="00A65CB0">
        <w:trPr>
          <w:trHeight w:val="555"/>
        </w:trPr>
        <w:tc>
          <w:tcPr>
            <w:tcW w:w="7654" w:type="dxa"/>
            <w:gridSpan w:val="2"/>
            <w:tcBorders>
              <w:bottom w:val="double" w:sz="6" w:space="0" w:color="1F497D"/>
            </w:tcBorders>
            <w:noWrap/>
          </w:tcPr>
          <w:p w:rsidR="00621DA7" w:rsidRPr="00C34718" w:rsidRDefault="00621DA7" w:rsidP="00A65CB0">
            <w:pPr>
              <w:spacing w:line="240" w:lineRule="auto"/>
              <w:jc w:val="left"/>
              <w:rPr>
                <w:rFonts w:ascii="Sylfaen" w:hAnsi="Sylfaen"/>
                <w:color w:val="000000"/>
              </w:rPr>
            </w:pPr>
            <w:r w:rsidRPr="00C34718">
              <w:rPr>
                <w:rFonts w:ascii="Sylfaen" w:hAnsi="Sylfaen"/>
                <w:color w:val="000000"/>
                <w:szCs w:val="22"/>
              </w:rPr>
              <w:t>Note: Definitions based on MIX-Market Taxonomy (</w:t>
            </w:r>
            <w:hyperlink r:id="rId12" w:history="1">
              <w:r w:rsidRPr="00B951C0">
                <w:rPr>
                  <w:rStyle w:val="Hyperkobling"/>
                  <w:rFonts w:ascii="Sylfaen" w:hAnsi="Sylfaen"/>
                  <w:szCs w:val="22"/>
                </w:rPr>
                <w:t>http://www.mixmarket.org/mix-market-development-roadmap/inline-glossary)/http://www.mixmarket.org/en/glossary</w:t>
              </w:r>
            </w:hyperlink>
          </w:p>
        </w:tc>
      </w:tr>
    </w:tbl>
    <w:p w:rsidR="00356CCA" w:rsidRPr="00A845B2" w:rsidRDefault="00621DA7" w:rsidP="00621DA7">
      <w:pPr>
        <w:pStyle w:val="Listeavsnitt1"/>
        <w:ind w:left="0"/>
      </w:pPr>
      <w:r>
        <w:br w:type="page"/>
      </w:r>
      <w:r w:rsidR="00356CCA" w:rsidRPr="006929BA">
        <w:rPr>
          <w:b/>
        </w:rPr>
        <w:lastRenderedPageBreak/>
        <w:t>References</w:t>
      </w:r>
    </w:p>
    <w:p w:rsidR="00356CCA" w:rsidRPr="00EF6703" w:rsidRDefault="00356CCA" w:rsidP="006929BA">
      <w:pPr>
        <w:ind w:left="720" w:hanging="720"/>
      </w:pPr>
      <w:r w:rsidRPr="00EF6703">
        <w:t xml:space="preserve">Adams, R. B., Almeida, H., &amp; Ferreira, D. 2005. Powerful CEOs and their impact on corporate performance. </w:t>
      </w:r>
      <w:r w:rsidRPr="00EF6703">
        <w:rPr>
          <w:i/>
        </w:rPr>
        <w:t>Review of Financial Studies</w:t>
      </w:r>
      <w:r w:rsidRPr="00EF6703">
        <w:t>, 18(4): 1403-1432.</w:t>
      </w:r>
    </w:p>
    <w:p w:rsidR="00356CCA" w:rsidRDefault="00356CCA" w:rsidP="006929BA">
      <w:pPr>
        <w:ind w:left="720" w:hanging="720"/>
      </w:pPr>
      <w:r w:rsidRPr="00542076">
        <w:t xml:space="preserve">Armendáriz, B., and J. Morduch, (2010). </w:t>
      </w:r>
      <w:r>
        <w:rPr>
          <w:i/>
          <w:iCs/>
        </w:rPr>
        <w:t>The economics of microfinance: second edition</w:t>
      </w:r>
      <w:r>
        <w:t xml:space="preserve">. </w:t>
      </w:r>
      <w:smartTag w:uri="urn:schemas-microsoft-com:office:smarttags" w:element="place">
        <w:smartTag w:uri="urn:schemas-microsoft-com:office:smarttags" w:element="City">
          <w:r>
            <w:t>Cambridge</w:t>
          </w:r>
        </w:smartTag>
        <w:r>
          <w:t xml:space="preserve">, </w:t>
        </w:r>
        <w:smartTag w:uri="urn:schemas-microsoft-com:office:smarttags" w:element="State">
          <w:r>
            <w:t>MA</w:t>
          </w:r>
        </w:smartTag>
      </w:smartTag>
      <w:r>
        <w:t>: MIT Press</w:t>
      </w:r>
    </w:p>
    <w:p w:rsidR="00356CCA" w:rsidRPr="00542076" w:rsidRDefault="00356CCA" w:rsidP="007C1AB4">
      <w:pPr>
        <w:ind w:left="720" w:hanging="720"/>
      </w:pPr>
      <w:r w:rsidRPr="00542076">
        <w:t>Banerjee, Abhijit, Timothy Besley, and Timothy Guinnane (1994), “The Neighbor’s Keeper: The Design of a Credit Cooperative with Theory and a Test,” Quarterly Journal of Economics 109: 491-515.</w:t>
      </w:r>
    </w:p>
    <w:p w:rsidR="00356CCA" w:rsidRPr="00542076" w:rsidRDefault="00356CCA" w:rsidP="00602291">
      <w:pPr>
        <w:ind w:left="720" w:hanging="720"/>
      </w:pPr>
      <w:r w:rsidRPr="00542076">
        <w:t>Bateman, M. (2010</w:t>
      </w:r>
      <w:r w:rsidRPr="00542076">
        <w:rPr>
          <w:i/>
        </w:rPr>
        <w:t>). Why doesn’t microfinance work? The destructive rise of neoliberalism</w:t>
      </w:r>
      <w:r w:rsidRPr="00542076">
        <w:t xml:space="preserve">. </w:t>
      </w:r>
      <w:smartTag w:uri="urn:schemas-microsoft-com:office:smarttags" w:element="place">
        <w:smartTag w:uri="urn:schemas-microsoft-com:office:smarttags" w:element="City">
          <w:r w:rsidRPr="00542076">
            <w:t>London</w:t>
          </w:r>
        </w:smartTag>
      </w:smartTag>
      <w:r w:rsidRPr="00542076">
        <w:t>: Zed Books.</w:t>
      </w:r>
    </w:p>
    <w:p w:rsidR="00356CCA" w:rsidRDefault="00356CCA" w:rsidP="006929BA">
      <w:pPr>
        <w:ind w:left="720" w:hanging="720"/>
      </w:pPr>
      <w:r w:rsidRPr="00EF6703">
        <w:t xml:space="preserve">Cheng, S. 2008. Board size and the variability of corporate performance. </w:t>
      </w:r>
      <w:r w:rsidRPr="00EF6703">
        <w:rPr>
          <w:i/>
        </w:rPr>
        <w:t xml:space="preserve">Journal of Financial </w:t>
      </w:r>
      <w:r w:rsidRPr="00EA751A">
        <w:t>Economics</w:t>
      </w:r>
      <w:r w:rsidRPr="00EF6703">
        <w:t>, 87(1): 157-176.</w:t>
      </w:r>
    </w:p>
    <w:p w:rsidR="00356CCA" w:rsidRDefault="00356CCA" w:rsidP="0050713C">
      <w:pPr>
        <w:ind w:left="720" w:hanging="720"/>
      </w:pPr>
      <w:r w:rsidRPr="0050713C">
        <w:t xml:space="preserve">Chowdhury, Prabal </w:t>
      </w:r>
      <w:smartTag w:uri="urn:schemas-microsoft-com:office:smarttags" w:element="place">
        <w:smartTag w:uri="urn:schemas-microsoft-com:office:smarttags" w:element="City">
          <w:r w:rsidRPr="0050713C">
            <w:t>Roy</w:t>
          </w:r>
        </w:smartTag>
      </w:smartTag>
      <w:r w:rsidRPr="0050713C">
        <w:t xml:space="preserve"> (2005), “Group-Lending: Sequential Financing, Lender Monitoring and Joint Liability,” Journal of Development Economics 77: 415-439.</w:t>
      </w:r>
    </w:p>
    <w:p w:rsidR="00356CCA" w:rsidRDefault="00356CCA" w:rsidP="00671275">
      <w:pPr>
        <w:ind w:left="360" w:hanging="360"/>
        <w:rPr>
          <w:iCs/>
        </w:rPr>
      </w:pPr>
      <w:r>
        <w:t>Cull, R., Demirg</w:t>
      </w:r>
      <w:r w:rsidRPr="00F66932">
        <w:rPr>
          <w:rStyle w:val="Sterk"/>
          <w:b w:val="0"/>
          <w:bCs w:val="0"/>
          <w:color w:val="000000"/>
        </w:rPr>
        <w:t>üç</w:t>
      </w:r>
      <w:r>
        <w:t xml:space="preserve">-Kunt, A., &amp; Morduch, J. (2007). Financial performance and outreach: A global analysis of lending microbanks. </w:t>
      </w:r>
      <w:r w:rsidRPr="004308C4">
        <w:rPr>
          <w:i/>
        </w:rPr>
        <w:t xml:space="preserve">The </w:t>
      </w:r>
      <w:r>
        <w:rPr>
          <w:i/>
        </w:rPr>
        <w:t>Economic Journal</w:t>
      </w:r>
      <w:r>
        <w:rPr>
          <w:iCs/>
        </w:rPr>
        <w:t xml:space="preserve">, </w:t>
      </w:r>
      <w:r w:rsidRPr="008E4D2F">
        <w:rPr>
          <w:i/>
          <w:iCs/>
        </w:rPr>
        <w:t>117</w:t>
      </w:r>
      <w:r>
        <w:rPr>
          <w:iCs/>
        </w:rPr>
        <w:t xml:space="preserve"> (1), F107-F133.</w:t>
      </w:r>
    </w:p>
    <w:p w:rsidR="00356CCA" w:rsidRDefault="00356CCA" w:rsidP="00671275">
      <w:pPr>
        <w:ind w:left="360" w:hanging="360"/>
        <w:rPr>
          <w:iCs/>
        </w:rPr>
      </w:pPr>
      <w:r>
        <w:rPr>
          <w:iCs/>
        </w:rPr>
        <w:t>Dewatripont, Mathias, Ian Jewitt, and Jean Tirole. (1999). “The economics of career concerns, part II: Application to missions and accountability of governance agencies.”</w:t>
      </w:r>
      <w:r>
        <w:rPr>
          <w:i/>
          <w:iCs/>
        </w:rPr>
        <w:t xml:space="preserve">Review of Economic Studies </w:t>
      </w:r>
      <w:r>
        <w:rPr>
          <w:iCs/>
        </w:rPr>
        <w:t xml:space="preserve">66 (1), Special Issue (Contracts), pp. 199-217. </w:t>
      </w:r>
    </w:p>
    <w:p w:rsidR="00F52AF1" w:rsidRPr="00F52AF1" w:rsidRDefault="00F52AF1" w:rsidP="00F52AF1">
      <w:pPr>
        <w:rPr>
          <w:rFonts w:eastAsia="SimSun"/>
        </w:rPr>
      </w:pPr>
      <w:r w:rsidRPr="00F52AF1">
        <w:rPr>
          <w:rFonts w:eastAsia="SimSun"/>
        </w:rPr>
        <w:t>Galema, R. 2010. Debt enforcement and</w:t>
      </w:r>
      <w:r>
        <w:rPr>
          <w:rFonts w:eastAsia="SimSun"/>
        </w:rPr>
        <w:t xml:space="preserve"> </w:t>
      </w:r>
      <w:r w:rsidRPr="00F52AF1">
        <w:rPr>
          <w:rFonts w:eastAsia="SimSun"/>
        </w:rPr>
        <w:t xml:space="preserve">microfinance risk, </w:t>
      </w:r>
      <w:smartTag w:uri="urn:schemas-microsoft-com:office:smarttags" w:element="place">
        <w:smartTag w:uri="urn:schemas-microsoft-com:office:smarttags" w:element="PlaceType">
          <w:r w:rsidRPr="00F52AF1">
            <w:rPr>
              <w:rFonts w:eastAsia="SimSun"/>
            </w:rPr>
            <w:t>University</w:t>
          </w:r>
        </w:smartTag>
        <w:r w:rsidRPr="00F52AF1">
          <w:rPr>
            <w:rFonts w:eastAsia="SimSun"/>
          </w:rPr>
          <w:t xml:space="preserve"> of </w:t>
        </w:r>
        <w:smartTag w:uri="urn:schemas-microsoft-com:office:smarttags" w:element="PlaceName">
          <w:r w:rsidRPr="00F52AF1">
            <w:rPr>
              <w:rFonts w:eastAsia="SimSun"/>
            </w:rPr>
            <w:t>Groningen</w:t>
          </w:r>
        </w:smartTag>
      </w:smartTag>
      <w:r w:rsidRPr="00F52AF1">
        <w:rPr>
          <w:rFonts w:eastAsia="SimSun"/>
        </w:rPr>
        <w:t>,</w:t>
      </w:r>
      <w:r>
        <w:rPr>
          <w:rFonts w:eastAsia="SimSun"/>
        </w:rPr>
        <w:t xml:space="preserve"> </w:t>
      </w:r>
      <w:r w:rsidRPr="00F52AF1">
        <w:rPr>
          <w:rFonts w:eastAsia="SimSun"/>
        </w:rPr>
        <w:t>working paper.</w:t>
      </w:r>
    </w:p>
    <w:p w:rsidR="00356CCA" w:rsidRDefault="00356CCA" w:rsidP="00EA751A">
      <w:pPr>
        <w:ind w:left="720" w:hanging="720"/>
      </w:pPr>
      <w:r>
        <w:t xml:space="preserve">Galema, R., R. Lensink and R. Mersland. 2011. Do powerful CEOs determine microfinance performance?,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Groningen</w:t>
          </w:r>
        </w:smartTag>
      </w:smartTag>
      <w:r>
        <w:t xml:space="preserve">, memeo. </w:t>
      </w:r>
    </w:p>
    <w:p w:rsidR="00356CCA" w:rsidRPr="007C1AB4" w:rsidRDefault="00356CCA" w:rsidP="007C1AB4">
      <w:pPr>
        <w:ind w:left="720" w:hanging="720"/>
      </w:pPr>
      <w:r w:rsidRPr="007C1AB4">
        <w:t xml:space="preserve">Gangopadhyay, Shubhashis, Maitreesh Ghatak and Robert Lensink (2005), “On Joint Liability and the Peer Selection Effect,” </w:t>
      </w:r>
      <w:r w:rsidRPr="007C1AB4">
        <w:rPr>
          <w:i/>
        </w:rPr>
        <w:t>Economic Journal</w:t>
      </w:r>
      <w:r w:rsidRPr="007C1AB4">
        <w:t xml:space="preserve"> 115: 1012-1020 .</w:t>
      </w:r>
    </w:p>
    <w:p w:rsidR="00356CCA" w:rsidRPr="007C1AB4" w:rsidRDefault="00356CCA" w:rsidP="007C1AB4">
      <w:pPr>
        <w:ind w:left="720" w:hanging="720"/>
      </w:pPr>
      <w:r w:rsidRPr="007C1AB4">
        <w:t>Ghatak, Maitreesh and Timothy W. Guinnane (1999), “The Economics of Lending with Joint Liability: Theory and Practice,” Journal of Development Economics 60: 195-228.</w:t>
      </w:r>
    </w:p>
    <w:p w:rsidR="00356CCA" w:rsidRDefault="00356CCA" w:rsidP="007C1AB4">
      <w:pPr>
        <w:ind w:left="720" w:hanging="720"/>
      </w:pPr>
      <w:r w:rsidRPr="007C1AB4">
        <w:t>Ghatak, Maitreesh (2000), “Screening by the Company you Keep: Joint Liability Lending and the Peer Selection Effect,” The Economic Journal 110: 601-631.</w:t>
      </w:r>
    </w:p>
    <w:p w:rsidR="00356CCA" w:rsidRDefault="00356CCA" w:rsidP="00C34718">
      <w:pPr>
        <w:spacing w:line="360" w:lineRule="auto"/>
        <w:ind w:left="540" w:hanging="576"/>
      </w:pPr>
      <w:r w:rsidRPr="006E6EAB">
        <w:lastRenderedPageBreak/>
        <w:t xml:space="preserve">Glaeser, E.L. (2003). Introduction to the governance of not-for-profit organizations, in E.L. Glaeser (ed.) </w:t>
      </w:r>
      <w:r w:rsidRPr="006E6EAB">
        <w:rPr>
          <w:i/>
        </w:rPr>
        <w:t>The governance of not-for-profit organizations</w:t>
      </w:r>
      <w:r w:rsidRPr="006E6EAB">
        <w:t xml:space="preserve">, </w:t>
      </w:r>
      <w:smartTag w:uri="urn:schemas-microsoft-com:office:smarttags" w:element="City">
        <w:r>
          <w:t>Chicago</w:t>
        </w:r>
      </w:smartTag>
      <w:r>
        <w:t xml:space="preserve">: </w:t>
      </w:r>
      <w:smartTag w:uri="urn:schemas-microsoft-com:office:smarttags" w:element="place">
        <w:smartTag w:uri="urn:schemas-microsoft-com:office:smarttags" w:element="PlaceType">
          <w:r w:rsidRPr="006E6EAB">
            <w:t>University</w:t>
          </w:r>
        </w:smartTag>
        <w:r w:rsidRPr="006E6EAB">
          <w:t xml:space="preserve"> of </w:t>
        </w:r>
        <w:smartTag w:uri="urn:schemas-microsoft-com:office:smarttags" w:element="PlaceName">
          <w:r w:rsidRPr="006E6EAB">
            <w:t>Chicago Press</w:t>
          </w:r>
        </w:smartTag>
      </w:smartTag>
      <w:r w:rsidRPr="006E6EAB">
        <w:t xml:space="preserve">. </w:t>
      </w:r>
    </w:p>
    <w:p w:rsidR="00356CCA" w:rsidRPr="006E6EAB" w:rsidRDefault="00356CCA" w:rsidP="006606E8">
      <w:pPr>
        <w:ind w:left="540" w:hanging="576"/>
      </w:pPr>
      <w:r w:rsidRPr="006E6EAB">
        <w:t xml:space="preserve">Glaeser, E.L and Shleifer, A. (2001). Not-for-profit entrepreneurs. </w:t>
      </w:r>
      <w:r w:rsidRPr="006E6EAB">
        <w:rPr>
          <w:i/>
        </w:rPr>
        <w:t>Journal of Public Economics</w:t>
      </w:r>
      <w:r w:rsidRPr="006E6EAB">
        <w:t>, 81</w:t>
      </w:r>
      <w:r>
        <w:t>,</w:t>
      </w:r>
      <w:r w:rsidRPr="006E6EAB">
        <w:t xml:space="preserve"> 99-115</w:t>
      </w:r>
    </w:p>
    <w:p w:rsidR="00356CCA" w:rsidRDefault="00356CCA" w:rsidP="006606E8">
      <w:pPr>
        <w:spacing w:line="360" w:lineRule="auto"/>
        <w:ind w:left="540" w:hanging="576"/>
      </w:pPr>
      <w:r w:rsidRPr="006E6EAB">
        <w:t xml:space="preserve">GTZ. (2000). </w:t>
      </w:r>
      <w:r w:rsidRPr="006E6EAB">
        <w:rPr>
          <w:i/>
        </w:rPr>
        <w:t xml:space="preserve">A </w:t>
      </w:r>
      <w:r>
        <w:rPr>
          <w:i/>
        </w:rPr>
        <w:t>r</w:t>
      </w:r>
      <w:r w:rsidRPr="006E6EAB">
        <w:rPr>
          <w:i/>
        </w:rPr>
        <w:t xml:space="preserve">isk </w:t>
      </w:r>
      <w:r>
        <w:rPr>
          <w:i/>
        </w:rPr>
        <w:t>m</w:t>
      </w:r>
      <w:r w:rsidRPr="006E6EAB">
        <w:rPr>
          <w:i/>
        </w:rPr>
        <w:t xml:space="preserve">anagement </w:t>
      </w:r>
      <w:r>
        <w:rPr>
          <w:i/>
        </w:rPr>
        <w:t>f</w:t>
      </w:r>
      <w:r w:rsidRPr="006E6EAB">
        <w:rPr>
          <w:i/>
        </w:rPr>
        <w:t xml:space="preserve">ramework for </w:t>
      </w:r>
      <w:r>
        <w:rPr>
          <w:i/>
        </w:rPr>
        <w:t>m</w:t>
      </w:r>
      <w:r w:rsidRPr="006E6EAB">
        <w:rPr>
          <w:i/>
        </w:rPr>
        <w:t xml:space="preserve">icrofinance </w:t>
      </w:r>
      <w:r>
        <w:rPr>
          <w:i/>
        </w:rPr>
        <w:t>i</w:t>
      </w:r>
      <w:r w:rsidRPr="006E6EAB">
        <w:rPr>
          <w:i/>
        </w:rPr>
        <w:t>nstitutions</w:t>
      </w:r>
      <w:r w:rsidRPr="006E6EAB">
        <w:t>. Eschborn: GTZ.</w:t>
      </w:r>
    </w:p>
    <w:p w:rsidR="00356CCA" w:rsidRPr="000B2B79" w:rsidRDefault="00356CCA" w:rsidP="00E56703">
      <w:pPr>
        <w:ind w:left="720" w:hanging="720"/>
        <w:rPr>
          <w:noProof/>
          <w:color w:val="000000"/>
          <w:szCs w:val="20"/>
        </w:rPr>
      </w:pPr>
      <w:bookmarkStart w:id="1" w:name="_ENREF_24"/>
      <w:r w:rsidRPr="000B2B79">
        <w:rPr>
          <w:noProof/>
          <w:color w:val="000000"/>
          <w:szCs w:val="20"/>
        </w:rPr>
        <w:t xml:space="preserve">Gutiérrez-Nieto, B., C. Serrano-Cinca and C. Mar Molinero (2007) 'Microfinance institutions and efficiency', </w:t>
      </w:r>
      <w:r w:rsidRPr="000B2B79">
        <w:rPr>
          <w:i/>
          <w:noProof/>
          <w:color w:val="000000"/>
          <w:szCs w:val="20"/>
        </w:rPr>
        <w:t>Omega</w:t>
      </w:r>
      <w:r w:rsidRPr="000B2B79">
        <w:rPr>
          <w:noProof/>
          <w:color w:val="000000"/>
          <w:szCs w:val="20"/>
        </w:rPr>
        <w:t xml:space="preserve">, </w:t>
      </w:r>
      <w:r w:rsidRPr="000B2B79">
        <w:rPr>
          <w:b/>
          <w:noProof/>
          <w:color w:val="000000"/>
          <w:szCs w:val="20"/>
        </w:rPr>
        <w:t>35, 2</w:t>
      </w:r>
      <w:r w:rsidRPr="000B2B79">
        <w:rPr>
          <w:noProof/>
          <w:color w:val="000000"/>
          <w:szCs w:val="20"/>
        </w:rPr>
        <w:t>, 131-142.</w:t>
      </w:r>
      <w:bookmarkEnd w:id="1"/>
    </w:p>
    <w:p w:rsidR="00356CCA" w:rsidRDefault="00356CCA" w:rsidP="003C5F1E">
      <w:pPr>
        <w:ind w:left="720" w:hanging="720"/>
      </w:pPr>
      <w:r w:rsidRPr="0050713C">
        <w:t>Guttman, Joel M. (2008), “Assortative Matching, Adverse Selection, and Group Lending,” Journal of Development Economics 87: 51-56.</w:t>
      </w:r>
    </w:p>
    <w:p w:rsidR="00356CCA" w:rsidRPr="002C3910" w:rsidRDefault="00356CCA" w:rsidP="003C5F1E">
      <w:pPr>
        <w:ind w:left="540" w:hanging="576"/>
      </w:pPr>
      <w:r>
        <w:t xml:space="preserve">Hansmann, H.B. (1980). The role of nonprofit enterprise, </w:t>
      </w:r>
      <w:r>
        <w:rPr>
          <w:i/>
        </w:rPr>
        <w:t>The Yale Law Journal</w:t>
      </w:r>
      <w:r>
        <w:t>, 80(5), 835-901.</w:t>
      </w:r>
    </w:p>
    <w:p w:rsidR="00356CCA" w:rsidRDefault="00356CCA" w:rsidP="003C5F1E">
      <w:pPr>
        <w:ind w:left="720" w:hanging="720"/>
      </w:pPr>
      <w:r w:rsidRPr="006E6EAB">
        <w:t xml:space="preserve">Hartarska, V. (2005). Governance and performance of microfinance institutions in central and Eastern </w:t>
      </w:r>
      <w:smartTag w:uri="urn:schemas-microsoft-com:office:smarttags" w:element="place">
        <w:r w:rsidRPr="006E6EAB">
          <w:t>Europe</w:t>
        </w:r>
      </w:smartTag>
      <w:r w:rsidRPr="006E6EAB">
        <w:t xml:space="preserve"> and the newly independent states. </w:t>
      </w:r>
      <w:r w:rsidRPr="00BE3BA4">
        <w:t>World Development</w:t>
      </w:r>
      <w:r w:rsidRPr="006E6EAB">
        <w:t>, 33(10), 1627-1643.</w:t>
      </w:r>
    </w:p>
    <w:p w:rsidR="00356CCA" w:rsidRDefault="00356CCA" w:rsidP="003C5F1E">
      <w:pPr>
        <w:ind w:left="720" w:hanging="720"/>
      </w:pPr>
      <w:r>
        <w:rPr>
          <w:sz w:val="23"/>
          <w:szCs w:val="23"/>
        </w:rPr>
        <w:t xml:space="preserve">Hartarska, V. and R. Mersland, (Forthcoming) “What Governance Mechanisms Promote Efficiency in Reaching Poor Clients? Evidence from Rated Microfinance Institutions”. </w:t>
      </w:r>
      <w:r>
        <w:rPr>
          <w:i/>
          <w:iCs/>
          <w:sz w:val="23"/>
          <w:szCs w:val="23"/>
        </w:rPr>
        <w:t>European Financial Management</w:t>
      </w:r>
      <w:r>
        <w:rPr>
          <w:sz w:val="23"/>
          <w:szCs w:val="23"/>
        </w:rPr>
        <w:t>.</w:t>
      </w:r>
    </w:p>
    <w:p w:rsidR="00356CCA" w:rsidRPr="006E6EAB" w:rsidRDefault="00356CCA" w:rsidP="006D30A1">
      <w:pPr>
        <w:autoSpaceDE w:val="0"/>
        <w:autoSpaceDN w:val="0"/>
        <w:adjustRightInd w:val="0"/>
        <w:spacing w:line="360" w:lineRule="auto"/>
        <w:ind w:left="540" w:hanging="576"/>
        <w:rPr>
          <w:rFonts w:ascii="Times-Italic" w:hAnsi="Times-Italic" w:cs="Times-Italic"/>
          <w:i/>
          <w:iCs/>
        </w:rPr>
      </w:pPr>
      <w:r w:rsidRPr="006E6EAB">
        <w:rPr>
          <w:rFonts w:ascii="Times-Roman" w:hAnsi="Times-Roman" w:cs="Times-Roman"/>
        </w:rPr>
        <w:t xml:space="preserve">Hermes, N. and </w:t>
      </w:r>
      <w:r>
        <w:rPr>
          <w:rFonts w:ascii="Times-Roman" w:hAnsi="Times-Roman" w:cs="Times-Roman"/>
        </w:rPr>
        <w:t xml:space="preserve">R. </w:t>
      </w:r>
      <w:r w:rsidRPr="006E6EAB">
        <w:rPr>
          <w:rFonts w:ascii="Times-Roman" w:hAnsi="Times-Roman" w:cs="Times-Roman"/>
        </w:rPr>
        <w:t xml:space="preserve">Lensink (2007). The empirics of microfinance: what do we know? </w:t>
      </w:r>
      <w:r w:rsidRPr="006E6EAB">
        <w:rPr>
          <w:rFonts w:ascii="Times-Italic" w:hAnsi="Times-Italic" w:cs="Times-Italic"/>
          <w:i/>
          <w:iCs/>
        </w:rPr>
        <w:t>Economic Journal</w:t>
      </w:r>
      <w:r w:rsidRPr="006E6EAB">
        <w:rPr>
          <w:rFonts w:ascii="Times-Roman" w:hAnsi="Times-Roman" w:cs="Times-Roman"/>
        </w:rPr>
        <w:t>, 117(517), F1-F10.</w:t>
      </w:r>
    </w:p>
    <w:p w:rsidR="00356CCA" w:rsidRDefault="00356CCA" w:rsidP="006D30A1">
      <w:pPr>
        <w:spacing w:line="360" w:lineRule="auto"/>
        <w:ind w:left="540" w:hanging="576"/>
        <w:rPr>
          <w:color w:val="000000"/>
        </w:rPr>
      </w:pPr>
      <w:r w:rsidRPr="006E6EAB">
        <w:rPr>
          <w:color w:val="000000"/>
        </w:rPr>
        <w:t xml:space="preserve">Hermes, N., </w:t>
      </w:r>
      <w:r>
        <w:rPr>
          <w:color w:val="000000"/>
        </w:rPr>
        <w:t xml:space="preserve">and R. </w:t>
      </w:r>
      <w:r w:rsidRPr="006E6EAB">
        <w:rPr>
          <w:color w:val="000000"/>
        </w:rPr>
        <w:t>Lensink</w:t>
      </w:r>
      <w:r>
        <w:rPr>
          <w:color w:val="000000"/>
        </w:rPr>
        <w:t xml:space="preserve"> </w:t>
      </w:r>
      <w:r w:rsidRPr="006E6EAB">
        <w:rPr>
          <w:color w:val="000000"/>
        </w:rPr>
        <w:t xml:space="preserve">(2011). </w:t>
      </w:r>
      <w:r>
        <w:rPr>
          <w:color w:val="000000"/>
        </w:rPr>
        <w:t>Microfinance: its impact, outreach and sustainability</w:t>
      </w:r>
      <w:r w:rsidRPr="006E6EAB">
        <w:rPr>
          <w:color w:val="000000"/>
        </w:rPr>
        <w:t xml:space="preserve">, </w:t>
      </w:r>
      <w:r w:rsidRPr="006E6EAB">
        <w:rPr>
          <w:i/>
          <w:color w:val="000000"/>
        </w:rPr>
        <w:t>World Development,</w:t>
      </w:r>
      <w:r w:rsidRPr="006E6EAB">
        <w:rPr>
          <w:color w:val="000000"/>
        </w:rPr>
        <w:t xml:space="preserve"> forthcoming</w:t>
      </w:r>
      <w:r>
        <w:rPr>
          <w:color w:val="000000"/>
        </w:rPr>
        <w:t>.</w:t>
      </w:r>
    </w:p>
    <w:p w:rsidR="00356CCA" w:rsidRPr="007718B2" w:rsidRDefault="00356CCA" w:rsidP="007718B2">
      <w:pPr>
        <w:spacing w:line="360" w:lineRule="auto"/>
        <w:ind w:left="540" w:hanging="576"/>
        <w:rPr>
          <w:color w:val="000000"/>
        </w:rPr>
      </w:pPr>
      <w:r w:rsidRPr="007718B2">
        <w:rPr>
          <w:color w:val="000000"/>
        </w:rPr>
        <w:t xml:space="preserve">Hermes, N.,  R. Lensink, and A. Meesters, A. (2011). Outreach and efficiency of microfinance institutions”, World Development, </w:t>
      </w:r>
      <w:r>
        <w:rPr>
          <w:color w:val="000000"/>
        </w:rPr>
        <w:t>forthcoming</w:t>
      </w:r>
      <w:r w:rsidRPr="007718B2">
        <w:rPr>
          <w:color w:val="000000"/>
        </w:rPr>
        <w:t>.</w:t>
      </w:r>
    </w:p>
    <w:p w:rsidR="00356CCA" w:rsidRDefault="00356CCA" w:rsidP="00BE3BA4">
      <w:pPr>
        <w:spacing w:line="360" w:lineRule="auto"/>
        <w:ind w:left="540" w:hanging="576"/>
      </w:pPr>
      <w:r w:rsidRPr="006E6EAB">
        <w:t xml:space="preserve">Holmstrom, B. and Milgrom, P. (1991). Multitask principal-agent analyses: incentive contracts, asset ownership, and job design. </w:t>
      </w:r>
      <w:r w:rsidRPr="006E6EAB">
        <w:rPr>
          <w:i/>
        </w:rPr>
        <w:t>Journal of Law, Economics, and Organization</w:t>
      </w:r>
      <w:r w:rsidRPr="006E6EAB">
        <w:t>, 7, 24-52.</w:t>
      </w:r>
    </w:p>
    <w:p w:rsidR="00167EB4" w:rsidRDefault="00356CCA" w:rsidP="00BE3BA4">
      <w:pPr>
        <w:spacing w:line="360" w:lineRule="auto"/>
        <w:ind w:left="540" w:hanging="576"/>
      </w:pPr>
      <w:r>
        <w:t xml:space="preserve">Labie, M and R. Mersland (2011), “Corporate governance challenges in microfinance,” in Beatrice Armendariz and Marc Labie, Microfinance Handbook, forthcoming. </w:t>
      </w:r>
    </w:p>
    <w:p w:rsidR="00356CCA" w:rsidRPr="006E6EAB" w:rsidRDefault="00167EB4" w:rsidP="00BE3BA4">
      <w:pPr>
        <w:spacing w:line="360" w:lineRule="auto"/>
        <w:ind w:left="540" w:hanging="576"/>
      </w:pPr>
      <w:r>
        <w:t xml:space="preserve">Laeven, L. and Levine, R. 2009. Bank governance, regulation and risk taking. </w:t>
      </w:r>
      <w:r>
        <w:rPr>
          <w:i/>
        </w:rPr>
        <w:t>Journal of Financial Economics</w:t>
      </w:r>
      <w:r>
        <w:t>, 93, 259-275.</w:t>
      </w:r>
      <w:r w:rsidR="00356CCA">
        <w:t xml:space="preserve"> </w:t>
      </w:r>
    </w:p>
    <w:p w:rsidR="00356CCA" w:rsidRDefault="00356CCA" w:rsidP="007C1AB4">
      <w:pPr>
        <w:spacing w:line="360" w:lineRule="auto"/>
        <w:ind w:left="540" w:hanging="576"/>
        <w:rPr>
          <w:color w:val="000000"/>
        </w:rPr>
      </w:pPr>
      <w:r w:rsidRPr="007C1AB4">
        <w:rPr>
          <w:color w:val="000000"/>
        </w:rPr>
        <w:t>Laffont, Jean-Jaques (2003), “Collusion and Group Lending with Adverse Selection,” Journal of Development Economics 70 (2): 329-348.</w:t>
      </w:r>
    </w:p>
    <w:p w:rsidR="00356CCA" w:rsidRPr="000B2B79" w:rsidRDefault="00356CCA" w:rsidP="00E56703">
      <w:pPr>
        <w:ind w:left="720" w:hanging="720"/>
        <w:rPr>
          <w:noProof/>
          <w:color w:val="000000"/>
          <w:szCs w:val="20"/>
        </w:rPr>
      </w:pPr>
      <w:bookmarkStart w:id="2" w:name="_ENREF_34"/>
      <w:r w:rsidRPr="000B2B79">
        <w:rPr>
          <w:noProof/>
          <w:color w:val="000000"/>
          <w:szCs w:val="20"/>
        </w:rPr>
        <w:t xml:space="preserve">Lansink, A. O., E. Silva and S. Stefanou (2001) 'Inter-Firm and Intra-Firm Efficiency Measures', </w:t>
      </w:r>
      <w:r w:rsidRPr="000B2B79">
        <w:rPr>
          <w:i/>
          <w:noProof/>
          <w:color w:val="000000"/>
          <w:szCs w:val="20"/>
        </w:rPr>
        <w:t>Journal of Productivity Analysis</w:t>
      </w:r>
      <w:r w:rsidRPr="000B2B79">
        <w:rPr>
          <w:noProof/>
          <w:color w:val="000000"/>
          <w:szCs w:val="20"/>
        </w:rPr>
        <w:t xml:space="preserve">, </w:t>
      </w:r>
      <w:r w:rsidRPr="000B2B79">
        <w:rPr>
          <w:b/>
          <w:noProof/>
          <w:color w:val="000000"/>
          <w:szCs w:val="20"/>
        </w:rPr>
        <w:t>15</w:t>
      </w:r>
      <w:r w:rsidRPr="000B2B79">
        <w:rPr>
          <w:noProof/>
          <w:color w:val="000000"/>
          <w:szCs w:val="20"/>
        </w:rPr>
        <w:t>, 185-199.</w:t>
      </w:r>
      <w:bookmarkEnd w:id="2"/>
    </w:p>
    <w:p w:rsidR="0054704A" w:rsidRPr="0054704A" w:rsidRDefault="0054704A" w:rsidP="00C34718">
      <w:pPr>
        <w:ind w:left="720" w:hanging="720"/>
        <w:rPr>
          <w:noProof/>
          <w:color w:val="000000"/>
          <w:szCs w:val="20"/>
        </w:rPr>
      </w:pPr>
      <w:bookmarkStart w:id="3" w:name="_ENREF_38"/>
      <w:r>
        <w:rPr>
          <w:noProof/>
          <w:color w:val="000000"/>
          <w:szCs w:val="20"/>
        </w:rPr>
        <w:lastRenderedPageBreak/>
        <w:t xml:space="preserve">Macey, J.R. and O’Hara, M. 2003. The corporate governance of banks, </w:t>
      </w:r>
      <w:r>
        <w:rPr>
          <w:i/>
          <w:noProof/>
          <w:color w:val="000000"/>
          <w:szCs w:val="20"/>
        </w:rPr>
        <w:t>Federal Reserve Bank of New York  Economic Policy Review</w:t>
      </w:r>
      <w:r>
        <w:rPr>
          <w:noProof/>
          <w:color w:val="000000"/>
          <w:szCs w:val="20"/>
        </w:rPr>
        <w:t>.</w:t>
      </w:r>
    </w:p>
    <w:p w:rsidR="00356CCA" w:rsidRPr="000B2B79" w:rsidRDefault="00356CCA" w:rsidP="00C34718">
      <w:pPr>
        <w:ind w:left="720" w:hanging="720"/>
        <w:rPr>
          <w:noProof/>
          <w:color w:val="000000"/>
          <w:szCs w:val="20"/>
        </w:rPr>
      </w:pPr>
      <w:r w:rsidRPr="000B2B79">
        <w:rPr>
          <w:noProof/>
          <w:color w:val="000000"/>
          <w:szCs w:val="20"/>
        </w:rPr>
        <w:t xml:space="preserve">Mersland, R. (2009) 'The Cost of Ownership in Microfinance Organizations', </w:t>
      </w:r>
      <w:r w:rsidRPr="000B2B79">
        <w:rPr>
          <w:i/>
          <w:noProof/>
          <w:color w:val="000000"/>
          <w:szCs w:val="20"/>
        </w:rPr>
        <w:t>World Development</w:t>
      </w:r>
      <w:r w:rsidRPr="000B2B79">
        <w:rPr>
          <w:noProof/>
          <w:color w:val="000000"/>
          <w:szCs w:val="20"/>
        </w:rPr>
        <w:t xml:space="preserve">, </w:t>
      </w:r>
      <w:r w:rsidRPr="000B2B79">
        <w:rPr>
          <w:b/>
          <w:noProof/>
          <w:color w:val="000000"/>
          <w:szCs w:val="20"/>
        </w:rPr>
        <w:t>37, 2</w:t>
      </w:r>
      <w:r w:rsidRPr="000B2B79">
        <w:rPr>
          <w:noProof/>
          <w:color w:val="000000"/>
          <w:szCs w:val="20"/>
        </w:rPr>
        <w:t>, 469-478.</w:t>
      </w:r>
      <w:bookmarkEnd w:id="3"/>
    </w:p>
    <w:p w:rsidR="005074F3" w:rsidRDefault="00AC4700" w:rsidP="00AC4700">
      <w:r w:rsidRPr="00C674B3">
        <w:t xml:space="preserve">Mersland, R. and Strøm, R., </w:t>
      </w:r>
      <w:proofErr w:type="gramStart"/>
      <w:r w:rsidRPr="00C674B3">
        <w:t>Ø.,</w:t>
      </w:r>
      <w:proofErr w:type="gramEnd"/>
      <w:r w:rsidRPr="00C674B3">
        <w:t xml:space="preserve"> 2008. </w:t>
      </w:r>
      <w:r w:rsidRPr="00AC4700">
        <w:t xml:space="preserve">Performance and trade-offs in microfinance organizations </w:t>
      </w:r>
      <w:r w:rsidR="005074F3">
        <w:t>–</w:t>
      </w:r>
    </w:p>
    <w:p w:rsidR="00AC4700" w:rsidRPr="00AC4700" w:rsidRDefault="00AC4700" w:rsidP="005074F3">
      <w:pPr>
        <w:ind w:firstLine="708"/>
      </w:pPr>
      <w:r w:rsidRPr="00AC4700">
        <w:t xml:space="preserve">does ownership matter? </w:t>
      </w:r>
      <w:r w:rsidRPr="00AC4700">
        <w:rPr>
          <w:i/>
        </w:rPr>
        <w:t>Journal of International Development</w:t>
      </w:r>
      <w:r w:rsidRPr="00AC4700">
        <w:t xml:space="preserve"> 20, 598-612</w:t>
      </w:r>
    </w:p>
    <w:p w:rsidR="00356CCA" w:rsidRDefault="00356CCA" w:rsidP="006929BA">
      <w:r>
        <w:t xml:space="preserve">Mersland, R. </w:t>
      </w:r>
      <w:r w:rsidRPr="007D50DB">
        <w:t xml:space="preserve">and </w:t>
      </w:r>
      <w:r>
        <w:t xml:space="preserve">Strøm, R., </w:t>
      </w:r>
      <w:r w:rsidRPr="007D50DB">
        <w:t>Ø</w:t>
      </w:r>
      <w:r>
        <w:t>. 2009. Performance and governance in microfinance</w:t>
      </w:r>
    </w:p>
    <w:p w:rsidR="00356CCA" w:rsidRPr="007D50DB" w:rsidRDefault="00356CCA" w:rsidP="006929BA">
      <w:pPr>
        <w:ind w:firstLine="720"/>
      </w:pPr>
      <w:r>
        <w:t xml:space="preserve">institutions, </w:t>
      </w:r>
      <w:r>
        <w:rPr>
          <w:i/>
        </w:rPr>
        <w:t xml:space="preserve">Journal of Banking and Finance, </w:t>
      </w:r>
      <w:r w:rsidR="00AC4700">
        <w:t>33(4), 662-669.</w:t>
      </w:r>
    </w:p>
    <w:p w:rsidR="00356CCA" w:rsidRPr="00EF6703" w:rsidRDefault="00356CCA" w:rsidP="006929BA">
      <w:pPr>
        <w:autoSpaceDE w:val="0"/>
        <w:autoSpaceDN w:val="0"/>
        <w:adjustRightInd w:val="0"/>
      </w:pPr>
      <w:r w:rsidRPr="007D50DB">
        <w:rPr>
          <w:lang w:val="nl-NL"/>
        </w:rPr>
        <w:t xml:space="preserve">Rousseeuw, P.J., and Van Zomeren, B. 1990. </w:t>
      </w:r>
      <w:r w:rsidRPr="00EF6703">
        <w:t>Unmasking multivariate outliers and leverage</w:t>
      </w:r>
    </w:p>
    <w:p w:rsidR="00356CCA" w:rsidRDefault="00356CCA" w:rsidP="006929BA">
      <w:pPr>
        <w:autoSpaceDE w:val="0"/>
        <w:autoSpaceDN w:val="0"/>
        <w:adjustRightInd w:val="0"/>
        <w:ind w:firstLine="720"/>
      </w:pPr>
      <w:r w:rsidRPr="00EF6703">
        <w:t xml:space="preserve">points. </w:t>
      </w:r>
      <w:r w:rsidRPr="00EF6703">
        <w:rPr>
          <w:i/>
        </w:rPr>
        <w:t xml:space="preserve">Journal of the American Statistical Association, </w:t>
      </w:r>
      <w:r w:rsidRPr="00EF6703">
        <w:t>85, pp. 633-639</w:t>
      </w:r>
    </w:p>
    <w:p w:rsidR="00356CCA" w:rsidRDefault="00356CCA" w:rsidP="006449BC">
      <w:pPr>
        <w:autoSpaceDE w:val="0"/>
        <w:autoSpaceDN w:val="0"/>
        <w:adjustRightInd w:val="0"/>
        <w:ind w:left="540" w:hanging="540"/>
      </w:pPr>
      <w:r w:rsidRPr="006449BC">
        <w:t xml:space="preserve">Servin, R., R. Lensink and M. van den Berg, “Does the ownership type of MFIs affect MFIs technology and efficiency: evidence from Latin America”, </w:t>
      </w:r>
      <w:smartTag w:uri="urn:schemas-microsoft-com:office:smarttags" w:element="place">
        <w:smartTag w:uri="urn:schemas-microsoft-com:office:smarttags" w:element="PlaceName">
          <w:r w:rsidRPr="006449BC">
            <w:t>Wageningen</w:t>
          </w:r>
        </w:smartTag>
        <w:r w:rsidRPr="006449BC">
          <w:t xml:space="preserve"> </w:t>
        </w:r>
        <w:smartTag w:uri="urn:schemas-microsoft-com:office:smarttags" w:element="PlaceType">
          <w:r w:rsidRPr="006449BC">
            <w:t>University</w:t>
          </w:r>
        </w:smartTag>
      </w:smartTag>
      <w:r w:rsidRPr="006449BC">
        <w:t>, mimeo.</w:t>
      </w:r>
    </w:p>
    <w:p w:rsidR="00E95457" w:rsidRDefault="00E95457" w:rsidP="006449BC">
      <w:pPr>
        <w:autoSpaceDE w:val="0"/>
        <w:autoSpaceDN w:val="0"/>
        <w:adjustRightInd w:val="0"/>
        <w:ind w:left="540" w:hanging="540"/>
      </w:pPr>
      <w:r>
        <w:t xml:space="preserve">Shleifer, A. and Vishny, R.W. 1997. A survey  of corporate governance. </w:t>
      </w:r>
      <w:r>
        <w:rPr>
          <w:i/>
        </w:rPr>
        <w:t>Journal of Finance</w:t>
      </w:r>
      <w:r>
        <w:t xml:space="preserve">, 52(2), 737-783. </w:t>
      </w:r>
    </w:p>
    <w:p w:rsidR="004D219D" w:rsidRDefault="004D219D" w:rsidP="004D219D">
      <w:pPr>
        <w:rPr>
          <w:rFonts w:eastAsia="SimSun"/>
        </w:rPr>
      </w:pPr>
      <w:r w:rsidRPr="004D219D">
        <w:rPr>
          <w:rFonts w:eastAsia="SimSun"/>
        </w:rPr>
        <w:t>Steege, J. 1998. The rise and fall of Corposol: lessons learned from the challenges of</w:t>
      </w:r>
      <w:r>
        <w:rPr>
          <w:rFonts w:eastAsia="SimSun"/>
        </w:rPr>
        <w:t xml:space="preserve"> </w:t>
      </w:r>
      <w:r w:rsidRPr="004D219D">
        <w:rPr>
          <w:rFonts w:eastAsia="SimSun"/>
        </w:rPr>
        <w:t>managing</w:t>
      </w:r>
    </w:p>
    <w:p w:rsidR="004D219D" w:rsidRPr="004D219D" w:rsidRDefault="004D219D" w:rsidP="004D219D">
      <w:pPr>
        <w:ind w:firstLine="540"/>
        <w:rPr>
          <w:rFonts w:eastAsia="SimSun"/>
        </w:rPr>
      </w:pPr>
      <w:r w:rsidRPr="004D219D">
        <w:rPr>
          <w:rFonts w:eastAsia="SimSun"/>
        </w:rPr>
        <w:t>growth, USAID Microfinance Best Practice,</w:t>
      </w:r>
      <w:r>
        <w:rPr>
          <w:rFonts w:eastAsia="SimSun"/>
        </w:rPr>
        <w:t xml:space="preserve"> </w:t>
      </w:r>
      <w:smartTag w:uri="urn:schemas-microsoft-com:office:smarttags" w:element="place">
        <w:smartTag w:uri="urn:schemas-microsoft-com:office:smarttags" w:element="City">
          <w:r w:rsidRPr="004D219D">
            <w:rPr>
              <w:rFonts w:eastAsia="SimSun"/>
            </w:rPr>
            <w:t>Washington</w:t>
          </w:r>
        </w:smartTag>
        <w:r w:rsidRPr="004D219D">
          <w:rPr>
            <w:rFonts w:eastAsia="SimSun"/>
          </w:rPr>
          <w:t xml:space="preserve">, </w:t>
        </w:r>
        <w:smartTag w:uri="urn:schemas-microsoft-com:office:smarttags" w:element="State">
          <w:r w:rsidRPr="004D219D">
            <w:rPr>
              <w:rFonts w:eastAsia="SimSun"/>
            </w:rPr>
            <w:t>DC</w:t>
          </w:r>
        </w:smartTag>
      </w:smartTag>
      <w:r w:rsidRPr="004D219D">
        <w:rPr>
          <w:rFonts w:eastAsia="SimSun"/>
        </w:rPr>
        <w:t>.</w:t>
      </w:r>
    </w:p>
    <w:p w:rsidR="00356CCA" w:rsidRPr="007C1AB4" w:rsidRDefault="00356CCA" w:rsidP="007C1AB4">
      <w:pPr>
        <w:spacing w:line="360" w:lineRule="auto"/>
        <w:ind w:left="540" w:hanging="576"/>
        <w:rPr>
          <w:color w:val="000000"/>
        </w:rPr>
      </w:pPr>
      <w:r w:rsidRPr="007C1AB4">
        <w:rPr>
          <w:color w:val="000000"/>
        </w:rPr>
        <w:t xml:space="preserve">Stiglitz, Joseph E (1990), “ Peer Monitoring in Credit Markets,” World Bank Economic Review 4, 351-366. </w:t>
      </w:r>
    </w:p>
    <w:p w:rsidR="00356CCA" w:rsidRPr="00EF6703" w:rsidRDefault="00356CCA" w:rsidP="007C1AB4">
      <w:pPr>
        <w:autoSpaceDE w:val="0"/>
        <w:autoSpaceDN w:val="0"/>
        <w:adjustRightInd w:val="0"/>
      </w:pPr>
    </w:p>
    <w:p w:rsidR="00356CCA" w:rsidRDefault="00356CCA" w:rsidP="00C1354C">
      <w:pPr>
        <w:pStyle w:val="Listeavsnitt1"/>
        <w:jc w:val="left"/>
        <w:rPr>
          <w:b/>
        </w:rPr>
      </w:pPr>
    </w:p>
    <w:p w:rsidR="00356CCA" w:rsidRPr="006929BA" w:rsidRDefault="00356CCA" w:rsidP="00C1354C">
      <w:pPr>
        <w:pStyle w:val="Listeavsnitt1"/>
        <w:jc w:val="left"/>
      </w:pPr>
    </w:p>
    <w:sectPr w:rsidR="00356CCA" w:rsidRPr="006929BA" w:rsidSect="005074F3">
      <w:footerReference w:type="even"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19F" w:rsidRDefault="0037719F" w:rsidP="007372E3">
      <w:pPr>
        <w:spacing w:line="240" w:lineRule="auto"/>
      </w:pPr>
      <w:r>
        <w:separator/>
      </w:r>
    </w:p>
  </w:endnote>
  <w:endnote w:type="continuationSeparator" w:id="0">
    <w:p w:rsidR="0037719F" w:rsidRDefault="0037719F" w:rsidP="007372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617" w:rsidRDefault="00DB6D87" w:rsidP="00A65CB0">
    <w:pPr>
      <w:pStyle w:val="Bunntekst"/>
      <w:framePr w:wrap="around" w:vAnchor="text" w:hAnchor="margin" w:xAlign="center" w:y="1"/>
      <w:rPr>
        <w:rStyle w:val="Sidetall"/>
      </w:rPr>
    </w:pPr>
    <w:r>
      <w:rPr>
        <w:rStyle w:val="Sidetall"/>
      </w:rPr>
      <w:fldChar w:fldCharType="begin"/>
    </w:r>
    <w:r w:rsidR="00025617">
      <w:rPr>
        <w:rStyle w:val="Sidetall"/>
      </w:rPr>
      <w:instrText xml:space="preserve">PAGE  </w:instrText>
    </w:r>
    <w:r>
      <w:rPr>
        <w:rStyle w:val="Sidetall"/>
      </w:rPr>
      <w:fldChar w:fldCharType="separate"/>
    </w:r>
    <w:r w:rsidR="00025617">
      <w:rPr>
        <w:rStyle w:val="Sidetall"/>
        <w:noProof/>
      </w:rPr>
      <w:t>1</w:t>
    </w:r>
    <w:r>
      <w:rPr>
        <w:rStyle w:val="Sidetall"/>
      </w:rPr>
      <w:fldChar w:fldCharType="end"/>
    </w:r>
  </w:p>
  <w:p w:rsidR="00025617" w:rsidRDefault="00025617">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617" w:rsidRDefault="00DB6D87" w:rsidP="00A65CB0">
    <w:pPr>
      <w:pStyle w:val="Bunntekst"/>
      <w:framePr w:wrap="around" w:vAnchor="text" w:hAnchor="margin" w:xAlign="center" w:y="1"/>
      <w:rPr>
        <w:rStyle w:val="Sidetall"/>
      </w:rPr>
    </w:pPr>
    <w:r>
      <w:rPr>
        <w:rStyle w:val="Sidetall"/>
      </w:rPr>
      <w:fldChar w:fldCharType="begin"/>
    </w:r>
    <w:r w:rsidR="00025617">
      <w:rPr>
        <w:rStyle w:val="Sidetall"/>
      </w:rPr>
      <w:instrText xml:space="preserve">PAGE  </w:instrText>
    </w:r>
    <w:r>
      <w:rPr>
        <w:rStyle w:val="Sidetall"/>
      </w:rPr>
      <w:fldChar w:fldCharType="separate"/>
    </w:r>
    <w:r w:rsidR="00C674B3">
      <w:rPr>
        <w:rStyle w:val="Sidetall"/>
        <w:noProof/>
      </w:rPr>
      <w:t>23</w:t>
    </w:r>
    <w:r>
      <w:rPr>
        <w:rStyle w:val="Sidetall"/>
      </w:rPr>
      <w:fldChar w:fldCharType="end"/>
    </w:r>
  </w:p>
  <w:p w:rsidR="00025617" w:rsidRDefault="0002561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19F" w:rsidRDefault="0037719F" w:rsidP="007372E3">
      <w:pPr>
        <w:spacing w:line="240" w:lineRule="auto"/>
      </w:pPr>
      <w:r>
        <w:separator/>
      </w:r>
    </w:p>
  </w:footnote>
  <w:footnote w:type="continuationSeparator" w:id="0">
    <w:p w:rsidR="0037719F" w:rsidRDefault="0037719F" w:rsidP="007372E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148712"/>
    <w:lvl w:ilvl="0">
      <w:start w:val="1"/>
      <w:numFmt w:val="decimal"/>
      <w:lvlText w:val="%1."/>
      <w:lvlJc w:val="left"/>
      <w:pPr>
        <w:tabs>
          <w:tab w:val="num" w:pos="1800"/>
        </w:tabs>
        <w:ind w:left="1800" w:hanging="360"/>
      </w:pPr>
    </w:lvl>
  </w:abstractNum>
  <w:abstractNum w:abstractNumId="1">
    <w:nsid w:val="FFFFFF7D"/>
    <w:multiLevelType w:val="singleLevel"/>
    <w:tmpl w:val="535C5392"/>
    <w:lvl w:ilvl="0">
      <w:start w:val="1"/>
      <w:numFmt w:val="decimal"/>
      <w:lvlText w:val="%1."/>
      <w:lvlJc w:val="left"/>
      <w:pPr>
        <w:tabs>
          <w:tab w:val="num" w:pos="1440"/>
        </w:tabs>
        <w:ind w:left="1440" w:hanging="360"/>
      </w:pPr>
    </w:lvl>
  </w:abstractNum>
  <w:abstractNum w:abstractNumId="2">
    <w:nsid w:val="FFFFFF7E"/>
    <w:multiLevelType w:val="singleLevel"/>
    <w:tmpl w:val="C41E39B6"/>
    <w:lvl w:ilvl="0">
      <w:start w:val="1"/>
      <w:numFmt w:val="decimal"/>
      <w:lvlText w:val="%1."/>
      <w:lvlJc w:val="left"/>
      <w:pPr>
        <w:tabs>
          <w:tab w:val="num" w:pos="1080"/>
        </w:tabs>
        <w:ind w:left="1080" w:hanging="360"/>
      </w:pPr>
    </w:lvl>
  </w:abstractNum>
  <w:abstractNum w:abstractNumId="3">
    <w:nsid w:val="FFFFFF7F"/>
    <w:multiLevelType w:val="singleLevel"/>
    <w:tmpl w:val="6BB2E5AE"/>
    <w:lvl w:ilvl="0">
      <w:start w:val="1"/>
      <w:numFmt w:val="decimal"/>
      <w:lvlText w:val="%1."/>
      <w:lvlJc w:val="left"/>
      <w:pPr>
        <w:tabs>
          <w:tab w:val="num" w:pos="720"/>
        </w:tabs>
        <w:ind w:left="720" w:hanging="360"/>
      </w:pPr>
    </w:lvl>
  </w:abstractNum>
  <w:abstractNum w:abstractNumId="4">
    <w:nsid w:val="FFFFFF80"/>
    <w:multiLevelType w:val="singleLevel"/>
    <w:tmpl w:val="7584D3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E14B39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5547C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9EC63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788D85A"/>
    <w:lvl w:ilvl="0">
      <w:start w:val="1"/>
      <w:numFmt w:val="decimal"/>
      <w:lvlText w:val="%1."/>
      <w:lvlJc w:val="left"/>
      <w:pPr>
        <w:tabs>
          <w:tab w:val="num" w:pos="360"/>
        </w:tabs>
        <w:ind w:left="360" w:hanging="360"/>
      </w:pPr>
    </w:lvl>
  </w:abstractNum>
  <w:abstractNum w:abstractNumId="9">
    <w:nsid w:val="FFFFFF89"/>
    <w:multiLevelType w:val="singleLevel"/>
    <w:tmpl w:val="11C2970A"/>
    <w:lvl w:ilvl="0">
      <w:start w:val="1"/>
      <w:numFmt w:val="bullet"/>
      <w:lvlText w:val=""/>
      <w:lvlJc w:val="left"/>
      <w:pPr>
        <w:tabs>
          <w:tab w:val="num" w:pos="360"/>
        </w:tabs>
        <w:ind w:left="360" w:hanging="360"/>
      </w:pPr>
      <w:rPr>
        <w:rFonts w:ascii="Symbol" w:hAnsi="Symbol" w:hint="default"/>
      </w:rPr>
    </w:lvl>
  </w:abstractNum>
  <w:abstractNum w:abstractNumId="10">
    <w:nsid w:val="0E5A48D9"/>
    <w:multiLevelType w:val="hybridMultilevel"/>
    <w:tmpl w:val="E976D7CC"/>
    <w:lvl w:ilvl="0" w:tplc="40067228">
      <w:start w:val="1"/>
      <w:numFmt w:val="bullet"/>
      <w:lvlText w:val="•"/>
      <w:lvlJc w:val="left"/>
      <w:pPr>
        <w:tabs>
          <w:tab w:val="num" w:pos="720"/>
        </w:tabs>
        <w:ind w:left="720" w:hanging="360"/>
      </w:pPr>
      <w:rPr>
        <w:rFonts w:ascii="Times New Roman" w:hAnsi="Times New Roman" w:hint="default"/>
      </w:rPr>
    </w:lvl>
    <w:lvl w:ilvl="1" w:tplc="021C290A" w:tentative="1">
      <w:start w:val="1"/>
      <w:numFmt w:val="bullet"/>
      <w:lvlText w:val="•"/>
      <w:lvlJc w:val="left"/>
      <w:pPr>
        <w:tabs>
          <w:tab w:val="num" w:pos="1440"/>
        </w:tabs>
        <w:ind w:left="1440" w:hanging="360"/>
      </w:pPr>
      <w:rPr>
        <w:rFonts w:ascii="Times New Roman" w:hAnsi="Times New Roman" w:hint="default"/>
      </w:rPr>
    </w:lvl>
    <w:lvl w:ilvl="2" w:tplc="C01C8CC6" w:tentative="1">
      <w:start w:val="1"/>
      <w:numFmt w:val="bullet"/>
      <w:lvlText w:val="•"/>
      <w:lvlJc w:val="left"/>
      <w:pPr>
        <w:tabs>
          <w:tab w:val="num" w:pos="2160"/>
        </w:tabs>
        <w:ind w:left="2160" w:hanging="360"/>
      </w:pPr>
      <w:rPr>
        <w:rFonts w:ascii="Times New Roman" w:hAnsi="Times New Roman" w:hint="default"/>
      </w:rPr>
    </w:lvl>
    <w:lvl w:ilvl="3" w:tplc="13367284" w:tentative="1">
      <w:start w:val="1"/>
      <w:numFmt w:val="bullet"/>
      <w:lvlText w:val="•"/>
      <w:lvlJc w:val="left"/>
      <w:pPr>
        <w:tabs>
          <w:tab w:val="num" w:pos="2880"/>
        </w:tabs>
        <w:ind w:left="2880" w:hanging="360"/>
      </w:pPr>
      <w:rPr>
        <w:rFonts w:ascii="Times New Roman" w:hAnsi="Times New Roman" w:hint="default"/>
      </w:rPr>
    </w:lvl>
    <w:lvl w:ilvl="4" w:tplc="A704B9BA" w:tentative="1">
      <w:start w:val="1"/>
      <w:numFmt w:val="bullet"/>
      <w:lvlText w:val="•"/>
      <w:lvlJc w:val="left"/>
      <w:pPr>
        <w:tabs>
          <w:tab w:val="num" w:pos="3600"/>
        </w:tabs>
        <w:ind w:left="3600" w:hanging="360"/>
      </w:pPr>
      <w:rPr>
        <w:rFonts w:ascii="Times New Roman" w:hAnsi="Times New Roman" w:hint="default"/>
      </w:rPr>
    </w:lvl>
    <w:lvl w:ilvl="5" w:tplc="AC2218E0" w:tentative="1">
      <w:start w:val="1"/>
      <w:numFmt w:val="bullet"/>
      <w:lvlText w:val="•"/>
      <w:lvlJc w:val="left"/>
      <w:pPr>
        <w:tabs>
          <w:tab w:val="num" w:pos="4320"/>
        </w:tabs>
        <w:ind w:left="4320" w:hanging="360"/>
      </w:pPr>
      <w:rPr>
        <w:rFonts w:ascii="Times New Roman" w:hAnsi="Times New Roman" w:hint="default"/>
      </w:rPr>
    </w:lvl>
    <w:lvl w:ilvl="6" w:tplc="B3CC4D64" w:tentative="1">
      <w:start w:val="1"/>
      <w:numFmt w:val="bullet"/>
      <w:lvlText w:val="•"/>
      <w:lvlJc w:val="left"/>
      <w:pPr>
        <w:tabs>
          <w:tab w:val="num" w:pos="5040"/>
        </w:tabs>
        <w:ind w:left="5040" w:hanging="360"/>
      </w:pPr>
      <w:rPr>
        <w:rFonts w:ascii="Times New Roman" w:hAnsi="Times New Roman" w:hint="default"/>
      </w:rPr>
    </w:lvl>
    <w:lvl w:ilvl="7" w:tplc="84529F10" w:tentative="1">
      <w:start w:val="1"/>
      <w:numFmt w:val="bullet"/>
      <w:lvlText w:val="•"/>
      <w:lvlJc w:val="left"/>
      <w:pPr>
        <w:tabs>
          <w:tab w:val="num" w:pos="5760"/>
        </w:tabs>
        <w:ind w:left="5760" w:hanging="360"/>
      </w:pPr>
      <w:rPr>
        <w:rFonts w:ascii="Times New Roman" w:hAnsi="Times New Roman" w:hint="default"/>
      </w:rPr>
    </w:lvl>
    <w:lvl w:ilvl="8" w:tplc="C9B0169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8B51D3D"/>
    <w:multiLevelType w:val="hybridMultilevel"/>
    <w:tmpl w:val="D9C28536"/>
    <w:lvl w:ilvl="0" w:tplc="075235A8">
      <w:start w:val="1"/>
      <w:numFmt w:val="bullet"/>
      <w:lvlText w:val="•"/>
      <w:lvlJc w:val="left"/>
      <w:pPr>
        <w:tabs>
          <w:tab w:val="num" w:pos="720"/>
        </w:tabs>
        <w:ind w:left="720" w:hanging="360"/>
      </w:pPr>
      <w:rPr>
        <w:rFonts w:ascii="Times New Roman" w:hAnsi="Times New Roman" w:hint="default"/>
      </w:rPr>
    </w:lvl>
    <w:lvl w:ilvl="1" w:tplc="E176029E" w:tentative="1">
      <w:start w:val="1"/>
      <w:numFmt w:val="bullet"/>
      <w:lvlText w:val="•"/>
      <w:lvlJc w:val="left"/>
      <w:pPr>
        <w:tabs>
          <w:tab w:val="num" w:pos="1440"/>
        </w:tabs>
        <w:ind w:left="1440" w:hanging="360"/>
      </w:pPr>
      <w:rPr>
        <w:rFonts w:ascii="Times New Roman" w:hAnsi="Times New Roman" w:hint="default"/>
      </w:rPr>
    </w:lvl>
    <w:lvl w:ilvl="2" w:tplc="CD7A4D62" w:tentative="1">
      <w:start w:val="1"/>
      <w:numFmt w:val="bullet"/>
      <w:lvlText w:val="•"/>
      <w:lvlJc w:val="left"/>
      <w:pPr>
        <w:tabs>
          <w:tab w:val="num" w:pos="2160"/>
        </w:tabs>
        <w:ind w:left="2160" w:hanging="360"/>
      </w:pPr>
      <w:rPr>
        <w:rFonts w:ascii="Times New Roman" w:hAnsi="Times New Roman" w:hint="default"/>
      </w:rPr>
    </w:lvl>
    <w:lvl w:ilvl="3" w:tplc="F8EC23FE" w:tentative="1">
      <w:start w:val="1"/>
      <w:numFmt w:val="bullet"/>
      <w:lvlText w:val="•"/>
      <w:lvlJc w:val="left"/>
      <w:pPr>
        <w:tabs>
          <w:tab w:val="num" w:pos="2880"/>
        </w:tabs>
        <w:ind w:left="2880" w:hanging="360"/>
      </w:pPr>
      <w:rPr>
        <w:rFonts w:ascii="Times New Roman" w:hAnsi="Times New Roman" w:hint="default"/>
      </w:rPr>
    </w:lvl>
    <w:lvl w:ilvl="4" w:tplc="5158062E" w:tentative="1">
      <w:start w:val="1"/>
      <w:numFmt w:val="bullet"/>
      <w:lvlText w:val="•"/>
      <w:lvlJc w:val="left"/>
      <w:pPr>
        <w:tabs>
          <w:tab w:val="num" w:pos="3600"/>
        </w:tabs>
        <w:ind w:left="3600" w:hanging="360"/>
      </w:pPr>
      <w:rPr>
        <w:rFonts w:ascii="Times New Roman" w:hAnsi="Times New Roman" w:hint="default"/>
      </w:rPr>
    </w:lvl>
    <w:lvl w:ilvl="5" w:tplc="7FB24282" w:tentative="1">
      <w:start w:val="1"/>
      <w:numFmt w:val="bullet"/>
      <w:lvlText w:val="•"/>
      <w:lvlJc w:val="left"/>
      <w:pPr>
        <w:tabs>
          <w:tab w:val="num" w:pos="4320"/>
        </w:tabs>
        <w:ind w:left="4320" w:hanging="360"/>
      </w:pPr>
      <w:rPr>
        <w:rFonts w:ascii="Times New Roman" w:hAnsi="Times New Roman" w:hint="default"/>
      </w:rPr>
    </w:lvl>
    <w:lvl w:ilvl="6" w:tplc="01F6AB2C" w:tentative="1">
      <w:start w:val="1"/>
      <w:numFmt w:val="bullet"/>
      <w:lvlText w:val="•"/>
      <w:lvlJc w:val="left"/>
      <w:pPr>
        <w:tabs>
          <w:tab w:val="num" w:pos="5040"/>
        </w:tabs>
        <w:ind w:left="5040" w:hanging="360"/>
      </w:pPr>
      <w:rPr>
        <w:rFonts w:ascii="Times New Roman" w:hAnsi="Times New Roman" w:hint="default"/>
      </w:rPr>
    </w:lvl>
    <w:lvl w:ilvl="7" w:tplc="41DE6A5C" w:tentative="1">
      <w:start w:val="1"/>
      <w:numFmt w:val="bullet"/>
      <w:lvlText w:val="•"/>
      <w:lvlJc w:val="left"/>
      <w:pPr>
        <w:tabs>
          <w:tab w:val="num" w:pos="5760"/>
        </w:tabs>
        <w:ind w:left="5760" w:hanging="360"/>
      </w:pPr>
      <w:rPr>
        <w:rFonts w:ascii="Times New Roman" w:hAnsi="Times New Roman" w:hint="default"/>
      </w:rPr>
    </w:lvl>
    <w:lvl w:ilvl="8" w:tplc="A1FA903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F4C70DA"/>
    <w:multiLevelType w:val="hybridMultilevel"/>
    <w:tmpl w:val="6DEC788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nsid w:val="28754DE6"/>
    <w:multiLevelType w:val="hybridMultilevel"/>
    <w:tmpl w:val="6CE89510"/>
    <w:lvl w:ilvl="0" w:tplc="165058A2">
      <w:start w:val="1"/>
      <w:numFmt w:val="bullet"/>
      <w:lvlText w:val="•"/>
      <w:lvlJc w:val="left"/>
      <w:pPr>
        <w:tabs>
          <w:tab w:val="num" w:pos="720"/>
        </w:tabs>
        <w:ind w:left="720" w:hanging="360"/>
      </w:pPr>
      <w:rPr>
        <w:rFonts w:ascii="Times New Roman" w:hAnsi="Times New Roman" w:hint="default"/>
      </w:rPr>
    </w:lvl>
    <w:lvl w:ilvl="1" w:tplc="C464BA9E" w:tentative="1">
      <w:start w:val="1"/>
      <w:numFmt w:val="bullet"/>
      <w:lvlText w:val="•"/>
      <w:lvlJc w:val="left"/>
      <w:pPr>
        <w:tabs>
          <w:tab w:val="num" w:pos="1440"/>
        </w:tabs>
        <w:ind w:left="1440" w:hanging="360"/>
      </w:pPr>
      <w:rPr>
        <w:rFonts w:ascii="Times New Roman" w:hAnsi="Times New Roman" w:hint="default"/>
      </w:rPr>
    </w:lvl>
    <w:lvl w:ilvl="2" w:tplc="E2B4C2C0" w:tentative="1">
      <w:start w:val="1"/>
      <w:numFmt w:val="bullet"/>
      <w:lvlText w:val="•"/>
      <w:lvlJc w:val="left"/>
      <w:pPr>
        <w:tabs>
          <w:tab w:val="num" w:pos="2160"/>
        </w:tabs>
        <w:ind w:left="2160" w:hanging="360"/>
      </w:pPr>
      <w:rPr>
        <w:rFonts w:ascii="Times New Roman" w:hAnsi="Times New Roman" w:hint="default"/>
      </w:rPr>
    </w:lvl>
    <w:lvl w:ilvl="3" w:tplc="D9623D2E" w:tentative="1">
      <w:start w:val="1"/>
      <w:numFmt w:val="bullet"/>
      <w:lvlText w:val="•"/>
      <w:lvlJc w:val="left"/>
      <w:pPr>
        <w:tabs>
          <w:tab w:val="num" w:pos="2880"/>
        </w:tabs>
        <w:ind w:left="2880" w:hanging="360"/>
      </w:pPr>
      <w:rPr>
        <w:rFonts w:ascii="Times New Roman" w:hAnsi="Times New Roman" w:hint="default"/>
      </w:rPr>
    </w:lvl>
    <w:lvl w:ilvl="4" w:tplc="69F8AE06" w:tentative="1">
      <w:start w:val="1"/>
      <w:numFmt w:val="bullet"/>
      <w:lvlText w:val="•"/>
      <w:lvlJc w:val="left"/>
      <w:pPr>
        <w:tabs>
          <w:tab w:val="num" w:pos="3600"/>
        </w:tabs>
        <w:ind w:left="3600" w:hanging="360"/>
      </w:pPr>
      <w:rPr>
        <w:rFonts w:ascii="Times New Roman" w:hAnsi="Times New Roman" w:hint="default"/>
      </w:rPr>
    </w:lvl>
    <w:lvl w:ilvl="5" w:tplc="C03A043A" w:tentative="1">
      <w:start w:val="1"/>
      <w:numFmt w:val="bullet"/>
      <w:lvlText w:val="•"/>
      <w:lvlJc w:val="left"/>
      <w:pPr>
        <w:tabs>
          <w:tab w:val="num" w:pos="4320"/>
        </w:tabs>
        <w:ind w:left="4320" w:hanging="360"/>
      </w:pPr>
      <w:rPr>
        <w:rFonts w:ascii="Times New Roman" w:hAnsi="Times New Roman" w:hint="default"/>
      </w:rPr>
    </w:lvl>
    <w:lvl w:ilvl="6" w:tplc="9B6A9E42" w:tentative="1">
      <w:start w:val="1"/>
      <w:numFmt w:val="bullet"/>
      <w:lvlText w:val="•"/>
      <w:lvlJc w:val="left"/>
      <w:pPr>
        <w:tabs>
          <w:tab w:val="num" w:pos="5040"/>
        </w:tabs>
        <w:ind w:left="5040" w:hanging="360"/>
      </w:pPr>
      <w:rPr>
        <w:rFonts w:ascii="Times New Roman" w:hAnsi="Times New Roman" w:hint="default"/>
      </w:rPr>
    </w:lvl>
    <w:lvl w:ilvl="7" w:tplc="F4FC0606" w:tentative="1">
      <w:start w:val="1"/>
      <w:numFmt w:val="bullet"/>
      <w:lvlText w:val="•"/>
      <w:lvlJc w:val="left"/>
      <w:pPr>
        <w:tabs>
          <w:tab w:val="num" w:pos="5760"/>
        </w:tabs>
        <w:ind w:left="5760" w:hanging="360"/>
      </w:pPr>
      <w:rPr>
        <w:rFonts w:ascii="Times New Roman" w:hAnsi="Times New Roman" w:hint="default"/>
      </w:rPr>
    </w:lvl>
    <w:lvl w:ilvl="8" w:tplc="8B2CB51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EE950F7"/>
    <w:multiLevelType w:val="multilevel"/>
    <w:tmpl w:val="8F3EC840"/>
    <w:lvl w:ilvl="0">
      <w:start w:val="1"/>
      <w:numFmt w:val="upperRoman"/>
      <w:lvlText w:val="%1."/>
      <w:lvlJc w:val="left"/>
      <w:pPr>
        <w:ind w:left="1202" w:hanging="720"/>
      </w:pPr>
      <w:rPr>
        <w:rFonts w:cs="Times New Roman" w:hint="default"/>
      </w:rPr>
    </w:lvl>
    <w:lvl w:ilvl="1">
      <w:start w:val="3"/>
      <w:numFmt w:val="decimal"/>
      <w:isLgl/>
      <w:lvlText w:val="%1.%2"/>
      <w:lvlJc w:val="left"/>
      <w:pPr>
        <w:ind w:left="1200" w:hanging="360"/>
      </w:pPr>
      <w:rPr>
        <w:rFonts w:cs="Times New Roman" w:hint="default"/>
      </w:rPr>
    </w:lvl>
    <w:lvl w:ilvl="2">
      <w:start w:val="1"/>
      <w:numFmt w:val="decimal"/>
      <w:isLgl/>
      <w:lvlText w:val="%1.%2.%3"/>
      <w:lvlJc w:val="left"/>
      <w:pPr>
        <w:ind w:left="1918" w:hanging="720"/>
      </w:pPr>
      <w:rPr>
        <w:rFonts w:cs="Times New Roman" w:hint="default"/>
      </w:rPr>
    </w:lvl>
    <w:lvl w:ilvl="3">
      <w:start w:val="1"/>
      <w:numFmt w:val="decimal"/>
      <w:isLgl/>
      <w:lvlText w:val="%1.%2.%3.%4"/>
      <w:lvlJc w:val="left"/>
      <w:pPr>
        <w:ind w:left="2276" w:hanging="720"/>
      </w:pPr>
      <w:rPr>
        <w:rFonts w:cs="Times New Roman" w:hint="default"/>
      </w:rPr>
    </w:lvl>
    <w:lvl w:ilvl="4">
      <w:start w:val="1"/>
      <w:numFmt w:val="decimal"/>
      <w:isLgl/>
      <w:lvlText w:val="%1.%2.%3.%4.%5"/>
      <w:lvlJc w:val="left"/>
      <w:pPr>
        <w:ind w:left="2994" w:hanging="1080"/>
      </w:pPr>
      <w:rPr>
        <w:rFonts w:cs="Times New Roman" w:hint="default"/>
      </w:rPr>
    </w:lvl>
    <w:lvl w:ilvl="5">
      <w:start w:val="1"/>
      <w:numFmt w:val="decimal"/>
      <w:isLgl/>
      <w:lvlText w:val="%1.%2.%3.%4.%5.%6"/>
      <w:lvlJc w:val="left"/>
      <w:pPr>
        <w:ind w:left="3352" w:hanging="1080"/>
      </w:pPr>
      <w:rPr>
        <w:rFonts w:cs="Times New Roman" w:hint="default"/>
      </w:rPr>
    </w:lvl>
    <w:lvl w:ilvl="6">
      <w:start w:val="1"/>
      <w:numFmt w:val="decimal"/>
      <w:isLgl/>
      <w:lvlText w:val="%1.%2.%3.%4.%5.%6.%7"/>
      <w:lvlJc w:val="left"/>
      <w:pPr>
        <w:ind w:left="4070" w:hanging="1440"/>
      </w:pPr>
      <w:rPr>
        <w:rFonts w:cs="Times New Roman" w:hint="default"/>
      </w:rPr>
    </w:lvl>
    <w:lvl w:ilvl="7">
      <w:start w:val="1"/>
      <w:numFmt w:val="decimal"/>
      <w:isLgl/>
      <w:lvlText w:val="%1.%2.%3.%4.%5.%6.%7.%8"/>
      <w:lvlJc w:val="left"/>
      <w:pPr>
        <w:ind w:left="4428" w:hanging="1440"/>
      </w:pPr>
      <w:rPr>
        <w:rFonts w:cs="Times New Roman" w:hint="default"/>
      </w:rPr>
    </w:lvl>
    <w:lvl w:ilvl="8">
      <w:start w:val="1"/>
      <w:numFmt w:val="decimal"/>
      <w:isLgl/>
      <w:lvlText w:val="%1.%2.%3.%4.%5.%6.%7.%8.%9"/>
      <w:lvlJc w:val="left"/>
      <w:pPr>
        <w:ind w:left="5146" w:hanging="1800"/>
      </w:pPr>
      <w:rPr>
        <w:rFonts w:cs="Times New Roman" w:hint="default"/>
      </w:rPr>
    </w:lvl>
  </w:abstractNum>
  <w:abstractNum w:abstractNumId="15">
    <w:nsid w:val="5BC26E0D"/>
    <w:multiLevelType w:val="hybridMultilevel"/>
    <w:tmpl w:val="523A0340"/>
    <w:lvl w:ilvl="0" w:tplc="FE220404">
      <w:start w:val="1"/>
      <w:numFmt w:val="decimal"/>
      <w:lvlText w:val="%1."/>
      <w:lvlJc w:val="left"/>
      <w:pPr>
        <w:ind w:left="1080" w:hanging="360"/>
      </w:pPr>
      <w:rPr>
        <w:rFonts w:cs="Times New Roman" w:hint="default"/>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16">
    <w:nsid w:val="60487CE3"/>
    <w:multiLevelType w:val="hybridMultilevel"/>
    <w:tmpl w:val="ADF06202"/>
    <w:lvl w:ilvl="0" w:tplc="492A4DBC">
      <w:start w:val="1"/>
      <w:numFmt w:val="bullet"/>
      <w:lvlText w:val="•"/>
      <w:lvlJc w:val="left"/>
      <w:pPr>
        <w:tabs>
          <w:tab w:val="num" w:pos="720"/>
        </w:tabs>
        <w:ind w:left="720" w:hanging="360"/>
      </w:pPr>
      <w:rPr>
        <w:rFonts w:ascii="Times New Roman" w:hAnsi="Times New Roman" w:hint="default"/>
      </w:rPr>
    </w:lvl>
    <w:lvl w:ilvl="1" w:tplc="B074E89C" w:tentative="1">
      <w:start w:val="1"/>
      <w:numFmt w:val="bullet"/>
      <w:lvlText w:val="•"/>
      <w:lvlJc w:val="left"/>
      <w:pPr>
        <w:tabs>
          <w:tab w:val="num" w:pos="1440"/>
        </w:tabs>
        <w:ind w:left="1440" w:hanging="360"/>
      </w:pPr>
      <w:rPr>
        <w:rFonts w:ascii="Times New Roman" w:hAnsi="Times New Roman" w:hint="default"/>
      </w:rPr>
    </w:lvl>
    <w:lvl w:ilvl="2" w:tplc="4ADC5EF8" w:tentative="1">
      <w:start w:val="1"/>
      <w:numFmt w:val="bullet"/>
      <w:lvlText w:val="•"/>
      <w:lvlJc w:val="left"/>
      <w:pPr>
        <w:tabs>
          <w:tab w:val="num" w:pos="2160"/>
        </w:tabs>
        <w:ind w:left="2160" w:hanging="360"/>
      </w:pPr>
      <w:rPr>
        <w:rFonts w:ascii="Times New Roman" w:hAnsi="Times New Roman" w:hint="default"/>
      </w:rPr>
    </w:lvl>
    <w:lvl w:ilvl="3" w:tplc="EB3E5EBE" w:tentative="1">
      <w:start w:val="1"/>
      <w:numFmt w:val="bullet"/>
      <w:lvlText w:val="•"/>
      <w:lvlJc w:val="left"/>
      <w:pPr>
        <w:tabs>
          <w:tab w:val="num" w:pos="2880"/>
        </w:tabs>
        <w:ind w:left="2880" w:hanging="360"/>
      </w:pPr>
      <w:rPr>
        <w:rFonts w:ascii="Times New Roman" w:hAnsi="Times New Roman" w:hint="default"/>
      </w:rPr>
    </w:lvl>
    <w:lvl w:ilvl="4" w:tplc="16B46494" w:tentative="1">
      <w:start w:val="1"/>
      <w:numFmt w:val="bullet"/>
      <w:lvlText w:val="•"/>
      <w:lvlJc w:val="left"/>
      <w:pPr>
        <w:tabs>
          <w:tab w:val="num" w:pos="3600"/>
        </w:tabs>
        <w:ind w:left="3600" w:hanging="360"/>
      </w:pPr>
      <w:rPr>
        <w:rFonts w:ascii="Times New Roman" w:hAnsi="Times New Roman" w:hint="default"/>
      </w:rPr>
    </w:lvl>
    <w:lvl w:ilvl="5" w:tplc="0DB63A1C" w:tentative="1">
      <w:start w:val="1"/>
      <w:numFmt w:val="bullet"/>
      <w:lvlText w:val="•"/>
      <w:lvlJc w:val="left"/>
      <w:pPr>
        <w:tabs>
          <w:tab w:val="num" w:pos="4320"/>
        </w:tabs>
        <w:ind w:left="4320" w:hanging="360"/>
      </w:pPr>
      <w:rPr>
        <w:rFonts w:ascii="Times New Roman" w:hAnsi="Times New Roman" w:hint="default"/>
      </w:rPr>
    </w:lvl>
    <w:lvl w:ilvl="6" w:tplc="B50E587C" w:tentative="1">
      <w:start w:val="1"/>
      <w:numFmt w:val="bullet"/>
      <w:lvlText w:val="•"/>
      <w:lvlJc w:val="left"/>
      <w:pPr>
        <w:tabs>
          <w:tab w:val="num" w:pos="5040"/>
        </w:tabs>
        <w:ind w:left="5040" w:hanging="360"/>
      </w:pPr>
      <w:rPr>
        <w:rFonts w:ascii="Times New Roman" w:hAnsi="Times New Roman" w:hint="default"/>
      </w:rPr>
    </w:lvl>
    <w:lvl w:ilvl="7" w:tplc="042EC1C4" w:tentative="1">
      <w:start w:val="1"/>
      <w:numFmt w:val="bullet"/>
      <w:lvlText w:val="•"/>
      <w:lvlJc w:val="left"/>
      <w:pPr>
        <w:tabs>
          <w:tab w:val="num" w:pos="5760"/>
        </w:tabs>
        <w:ind w:left="5760" w:hanging="360"/>
      </w:pPr>
      <w:rPr>
        <w:rFonts w:ascii="Times New Roman" w:hAnsi="Times New Roman" w:hint="default"/>
      </w:rPr>
    </w:lvl>
    <w:lvl w:ilvl="8" w:tplc="14A07AB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35E462D"/>
    <w:multiLevelType w:val="hybridMultilevel"/>
    <w:tmpl w:val="CA60800A"/>
    <w:lvl w:ilvl="0" w:tplc="6040FA62">
      <w:start w:val="1"/>
      <w:numFmt w:val="bullet"/>
      <w:lvlText w:val="•"/>
      <w:lvlJc w:val="left"/>
      <w:pPr>
        <w:tabs>
          <w:tab w:val="num" w:pos="720"/>
        </w:tabs>
        <w:ind w:left="720" w:hanging="360"/>
      </w:pPr>
      <w:rPr>
        <w:rFonts w:ascii="Times New Roman" w:hAnsi="Times New Roman" w:hint="default"/>
      </w:rPr>
    </w:lvl>
    <w:lvl w:ilvl="1" w:tplc="0F0A5590" w:tentative="1">
      <w:start w:val="1"/>
      <w:numFmt w:val="bullet"/>
      <w:lvlText w:val="•"/>
      <w:lvlJc w:val="left"/>
      <w:pPr>
        <w:tabs>
          <w:tab w:val="num" w:pos="1440"/>
        </w:tabs>
        <w:ind w:left="1440" w:hanging="360"/>
      </w:pPr>
      <w:rPr>
        <w:rFonts w:ascii="Times New Roman" w:hAnsi="Times New Roman" w:hint="default"/>
      </w:rPr>
    </w:lvl>
    <w:lvl w:ilvl="2" w:tplc="D7BCBEF6" w:tentative="1">
      <w:start w:val="1"/>
      <w:numFmt w:val="bullet"/>
      <w:lvlText w:val="•"/>
      <w:lvlJc w:val="left"/>
      <w:pPr>
        <w:tabs>
          <w:tab w:val="num" w:pos="2160"/>
        </w:tabs>
        <w:ind w:left="2160" w:hanging="360"/>
      </w:pPr>
      <w:rPr>
        <w:rFonts w:ascii="Times New Roman" w:hAnsi="Times New Roman" w:hint="default"/>
      </w:rPr>
    </w:lvl>
    <w:lvl w:ilvl="3" w:tplc="74E02556" w:tentative="1">
      <w:start w:val="1"/>
      <w:numFmt w:val="bullet"/>
      <w:lvlText w:val="•"/>
      <w:lvlJc w:val="left"/>
      <w:pPr>
        <w:tabs>
          <w:tab w:val="num" w:pos="2880"/>
        </w:tabs>
        <w:ind w:left="2880" w:hanging="360"/>
      </w:pPr>
      <w:rPr>
        <w:rFonts w:ascii="Times New Roman" w:hAnsi="Times New Roman" w:hint="default"/>
      </w:rPr>
    </w:lvl>
    <w:lvl w:ilvl="4" w:tplc="AA422C84" w:tentative="1">
      <w:start w:val="1"/>
      <w:numFmt w:val="bullet"/>
      <w:lvlText w:val="•"/>
      <w:lvlJc w:val="left"/>
      <w:pPr>
        <w:tabs>
          <w:tab w:val="num" w:pos="3600"/>
        </w:tabs>
        <w:ind w:left="3600" w:hanging="360"/>
      </w:pPr>
      <w:rPr>
        <w:rFonts w:ascii="Times New Roman" w:hAnsi="Times New Roman" w:hint="default"/>
      </w:rPr>
    </w:lvl>
    <w:lvl w:ilvl="5" w:tplc="4F66563A" w:tentative="1">
      <w:start w:val="1"/>
      <w:numFmt w:val="bullet"/>
      <w:lvlText w:val="•"/>
      <w:lvlJc w:val="left"/>
      <w:pPr>
        <w:tabs>
          <w:tab w:val="num" w:pos="4320"/>
        </w:tabs>
        <w:ind w:left="4320" w:hanging="360"/>
      </w:pPr>
      <w:rPr>
        <w:rFonts w:ascii="Times New Roman" w:hAnsi="Times New Roman" w:hint="default"/>
      </w:rPr>
    </w:lvl>
    <w:lvl w:ilvl="6" w:tplc="60E6C52E" w:tentative="1">
      <w:start w:val="1"/>
      <w:numFmt w:val="bullet"/>
      <w:lvlText w:val="•"/>
      <w:lvlJc w:val="left"/>
      <w:pPr>
        <w:tabs>
          <w:tab w:val="num" w:pos="5040"/>
        </w:tabs>
        <w:ind w:left="5040" w:hanging="360"/>
      </w:pPr>
      <w:rPr>
        <w:rFonts w:ascii="Times New Roman" w:hAnsi="Times New Roman" w:hint="default"/>
      </w:rPr>
    </w:lvl>
    <w:lvl w:ilvl="7" w:tplc="28D4985A" w:tentative="1">
      <w:start w:val="1"/>
      <w:numFmt w:val="bullet"/>
      <w:lvlText w:val="•"/>
      <w:lvlJc w:val="left"/>
      <w:pPr>
        <w:tabs>
          <w:tab w:val="num" w:pos="5760"/>
        </w:tabs>
        <w:ind w:left="5760" w:hanging="360"/>
      </w:pPr>
      <w:rPr>
        <w:rFonts w:ascii="Times New Roman" w:hAnsi="Times New Roman" w:hint="default"/>
      </w:rPr>
    </w:lvl>
    <w:lvl w:ilvl="8" w:tplc="3822CC4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72E5FA5"/>
    <w:multiLevelType w:val="hybridMultilevel"/>
    <w:tmpl w:val="458EB3F6"/>
    <w:lvl w:ilvl="0" w:tplc="3BBCF414">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0"/>
  </w:num>
  <w:num w:numId="4">
    <w:abstractNumId w:val="11"/>
  </w:num>
  <w:num w:numId="5">
    <w:abstractNumId w:val="16"/>
  </w:num>
  <w:num w:numId="6">
    <w:abstractNumId w:val="13"/>
  </w:num>
  <w:num w:numId="7">
    <w:abstractNumId w:val="17"/>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A5"/>
    <w:rsid w:val="000018CB"/>
    <w:rsid w:val="000118E4"/>
    <w:rsid w:val="00023A3D"/>
    <w:rsid w:val="00025617"/>
    <w:rsid w:val="000258CA"/>
    <w:rsid w:val="00030216"/>
    <w:rsid w:val="00036BBE"/>
    <w:rsid w:val="00040344"/>
    <w:rsid w:val="00051728"/>
    <w:rsid w:val="00054F90"/>
    <w:rsid w:val="00063EFA"/>
    <w:rsid w:val="00064002"/>
    <w:rsid w:val="00071CF5"/>
    <w:rsid w:val="00087CFA"/>
    <w:rsid w:val="000971CB"/>
    <w:rsid w:val="000A0D13"/>
    <w:rsid w:val="000A7A1D"/>
    <w:rsid w:val="000B2B79"/>
    <w:rsid w:val="000B51A1"/>
    <w:rsid w:val="000C7A6E"/>
    <w:rsid w:val="000D7C91"/>
    <w:rsid w:val="000E33D5"/>
    <w:rsid w:val="000E4CF2"/>
    <w:rsid w:val="000F5362"/>
    <w:rsid w:val="00100D01"/>
    <w:rsid w:val="00101CAB"/>
    <w:rsid w:val="001044A3"/>
    <w:rsid w:val="00115F34"/>
    <w:rsid w:val="00127C80"/>
    <w:rsid w:val="00147940"/>
    <w:rsid w:val="00167773"/>
    <w:rsid w:val="00167EB4"/>
    <w:rsid w:val="00170396"/>
    <w:rsid w:val="00172847"/>
    <w:rsid w:val="00175D2B"/>
    <w:rsid w:val="00182737"/>
    <w:rsid w:val="001A5FEF"/>
    <w:rsid w:val="001A6AA1"/>
    <w:rsid w:val="001C445E"/>
    <w:rsid w:val="001D1A96"/>
    <w:rsid w:val="001D546D"/>
    <w:rsid w:val="001E4823"/>
    <w:rsid w:val="001E4EFD"/>
    <w:rsid w:val="001F3B9F"/>
    <w:rsid w:val="001F75B6"/>
    <w:rsid w:val="001F7E55"/>
    <w:rsid w:val="00202A15"/>
    <w:rsid w:val="00205E9D"/>
    <w:rsid w:val="00212A6F"/>
    <w:rsid w:val="00225AEA"/>
    <w:rsid w:val="002316CA"/>
    <w:rsid w:val="00231B8B"/>
    <w:rsid w:val="00244E88"/>
    <w:rsid w:val="002459B5"/>
    <w:rsid w:val="0025366E"/>
    <w:rsid w:val="0026077C"/>
    <w:rsid w:val="002672B9"/>
    <w:rsid w:val="002725CB"/>
    <w:rsid w:val="00276473"/>
    <w:rsid w:val="00280878"/>
    <w:rsid w:val="00284845"/>
    <w:rsid w:val="00284BBB"/>
    <w:rsid w:val="0028799D"/>
    <w:rsid w:val="00296C49"/>
    <w:rsid w:val="00297E10"/>
    <w:rsid w:val="002C2C8F"/>
    <w:rsid w:val="002C3910"/>
    <w:rsid w:val="002C45DD"/>
    <w:rsid w:val="002C5010"/>
    <w:rsid w:val="002C614C"/>
    <w:rsid w:val="002D05EC"/>
    <w:rsid w:val="002D2452"/>
    <w:rsid w:val="002E66A8"/>
    <w:rsid w:val="003218C1"/>
    <w:rsid w:val="00325FF3"/>
    <w:rsid w:val="00341382"/>
    <w:rsid w:val="00341A64"/>
    <w:rsid w:val="00346942"/>
    <w:rsid w:val="00353BD8"/>
    <w:rsid w:val="003545B4"/>
    <w:rsid w:val="00356CCA"/>
    <w:rsid w:val="00373DA9"/>
    <w:rsid w:val="0037719F"/>
    <w:rsid w:val="0038260D"/>
    <w:rsid w:val="00391D4C"/>
    <w:rsid w:val="00393D2F"/>
    <w:rsid w:val="003A0D66"/>
    <w:rsid w:val="003B282E"/>
    <w:rsid w:val="003C11F7"/>
    <w:rsid w:val="003C36E0"/>
    <w:rsid w:val="003C5F1E"/>
    <w:rsid w:val="003D2B1F"/>
    <w:rsid w:val="003E1B52"/>
    <w:rsid w:val="003E5A11"/>
    <w:rsid w:val="003F145B"/>
    <w:rsid w:val="003F1C68"/>
    <w:rsid w:val="003F2493"/>
    <w:rsid w:val="00421517"/>
    <w:rsid w:val="00424D99"/>
    <w:rsid w:val="00427975"/>
    <w:rsid w:val="004308C4"/>
    <w:rsid w:val="00430E9B"/>
    <w:rsid w:val="00432A81"/>
    <w:rsid w:val="004562BD"/>
    <w:rsid w:val="00456617"/>
    <w:rsid w:val="00461139"/>
    <w:rsid w:val="004713F2"/>
    <w:rsid w:val="0047309B"/>
    <w:rsid w:val="00476535"/>
    <w:rsid w:val="00485CAC"/>
    <w:rsid w:val="00490809"/>
    <w:rsid w:val="004A4F33"/>
    <w:rsid w:val="004B37C8"/>
    <w:rsid w:val="004C3FE3"/>
    <w:rsid w:val="004C5DF5"/>
    <w:rsid w:val="004D219D"/>
    <w:rsid w:val="004D3288"/>
    <w:rsid w:val="004E6B85"/>
    <w:rsid w:val="004E7F99"/>
    <w:rsid w:val="004F136E"/>
    <w:rsid w:val="004F4A47"/>
    <w:rsid w:val="00503F16"/>
    <w:rsid w:val="0050713C"/>
    <w:rsid w:val="005074F3"/>
    <w:rsid w:val="005077A3"/>
    <w:rsid w:val="00512779"/>
    <w:rsid w:val="0052274C"/>
    <w:rsid w:val="0052283D"/>
    <w:rsid w:val="005239E0"/>
    <w:rsid w:val="00523AE0"/>
    <w:rsid w:val="0052409A"/>
    <w:rsid w:val="00525886"/>
    <w:rsid w:val="00526778"/>
    <w:rsid w:val="00531336"/>
    <w:rsid w:val="00532778"/>
    <w:rsid w:val="00532A5E"/>
    <w:rsid w:val="00542076"/>
    <w:rsid w:val="0054704A"/>
    <w:rsid w:val="0054737D"/>
    <w:rsid w:val="00551D7A"/>
    <w:rsid w:val="00564AF7"/>
    <w:rsid w:val="0058049E"/>
    <w:rsid w:val="00584EBD"/>
    <w:rsid w:val="00590800"/>
    <w:rsid w:val="005967A5"/>
    <w:rsid w:val="005A5589"/>
    <w:rsid w:val="005B0918"/>
    <w:rsid w:val="005B4298"/>
    <w:rsid w:val="005C1227"/>
    <w:rsid w:val="005E2128"/>
    <w:rsid w:val="005F07D3"/>
    <w:rsid w:val="005F6B93"/>
    <w:rsid w:val="00602291"/>
    <w:rsid w:val="00611C94"/>
    <w:rsid w:val="00621DA7"/>
    <w:rsid w:val="00623334"/>
    <w:rsid w:val="0062663D"/>
    <w:rsid w:val="0062756D"/>
    <w:rsid w:val="0064038A"/>
    <w:rsid w:val="00640935"/>
    <w:rsid w:val="0064285C"/>
    <w:rsid w:val="006449BC"/>
    <w:rsid w:val="00645588"/>
    <w:rsid w:val="00647936"/>
    <w:rsid w:val="0065172E"/>
    <w:rsid w:val="006606E8"/>
    <w:rsid w:val="00662347"/>
    <w:rsid w:val="00666F22"/>
    <w:rsid w:val="00666F77"/>
    <w:rsid w:val="00671275"/>
    <w:rsid w:val="0067376E"/>
    <w:rsid w:val="00676B8D"/>
    <w:rsid w:val="006929BA"/>
    <w:rsid w:val="006932D6"/>
    <w:rsid w:val="00693A3B"/>
    <w:rsid w:val="006A0158"/>
    <w:rsid w:val="006A1B99"/>
    <w:rsid w:val="006A29D5"/>
    <w:rsid w:val="006B02A1"/>
    <w:rsid w:val="006B2C12"/>
    <w:rsid w:val="006B31D8"/>
    <w:rsid w:val="006B5F34"/>
    <w:rsid w:val="006D0202"/>
    <w:rsid w:val="006D30A1"/>
    <w:rsid w:val="006D33C0"/>
    <w:rsid w:val="006E016E"/>
    <w:rsid w:val="006E6EAB"/>
    <w:rsid w:val="00700DDD"/>
    <w:rsid w:val="007134D5"/>
    <w:rsid w:val="00724BBF"/>
    <w:rsid w:val="0073601D"/>
    <w:rsid w:val="007372E3"/>
    <w:rsid w:val="007522E6"/>
    <w:rsid w:val="00757B82"/>
    <w:rsid w:val="007718B2"/>
    <w:rsid w:val="007754CF"/>
    <w:rsid w:val="00775FC3"/>
    <w:rsid w:val="00780403"/>
    <w:rsid w:val="00792F4F"/>
    <w:rsid w:val="00794DC4"/>
    <w:rsid w:val="00796A09"/>
    <w:rsid w:val="007A783E"/>
    <w:rsid w:val="007B0CC3"/>
    <w:rsid w:val="007B691E"/>
    <w:rsid w:val="007C1AB4"/>
    <w:rsid w:val="007D50DB"/>
    <w:rsid w:val="007E3D1D"/>
    <w:rsid w:val="007E636D"/>
    <w:rsid w:val="007F08BD"/>
    <w:rsid w:val="00801AA2"/>
    <w:rsid w:val="008053EF"/>
    <w:rsid w:val="00807B29"/>
    <w:rsid w:val="00813DDD"/>
    <w:rsid w:val="00817A89"/>
    <w:rsid w:val="00822115"/>
    <w:rsid w:val="00822141"/>
    <w:rsid w:val="008305F8"/>
    <w:rsid w:val="00845682"/>
    <w:rsid w:val="008461D4"/>
    <w:rsid w:val="00847F85"/>
    <w:rsid w:val="00851C0D"/>
    <w:rsid w:val="008528F4"/>
    <w:rsid w:val="00863EBD"/>
    <w:rsid w:val="00864190"/>
    <w:rsid w:val="008644B7"/>
    <w:rsid w:val="00864B93"/>
    <w:rsid w:val="00867FBB"/>
    <w:rsid w:val="00875B58"/>
    <w:rsid w:val="00877EF5"/>
    <w:rsid w:val="00882B6C"/>
    <w:rsid w:val="008A6A83"/>
    <w:rsid w:val="008B31CD"/>
    <w:rsid w:val="008B7673"/>
    <w:rsid w:val="008C2E69"/>
    <w:rsid w:val="008C4A5E"/>
    <w:rsid w:val="008D61F4"/>
    <w:rsid w:val="008E3518"/>
    <w:rsid w:val="008E4A57"/>
    <w:rsid w:val="008E4D2F"/>
    <w:rsid w:val="008E649E"/>
    <w:rsid w:val="008E7A64"/>
    <w:rsid w:val="008F2E87"/>
    <w:rsid w:val="00901ABD"/>
    <w:rsid w:val="00910192"/>
    <w:rsid w:val="00913574"/>
    <w:rsid w:val="00921792"/>
    <w:rsid w:val="00926B48"/>
    <w:rsid w:val="009410AB"/>
    <w:rsid w:val="00952F0A"/>
    <w:rsid w:val="00954CEE"/>
    <w:rsid w:val="00972B97"/>
    <w:rsid w:val="00976447"/>
    <w:rsid w:val="00984D5E"/>
    <w:rsid w:val="0098576B"/>
    <w:rsid w:val="00987122"/>
    <w:rsid w:val="009A4ED1"/>
    <w:rsid w:val="009B00FE"/>
    <w:rsid w:val="009B365D"/>
    <w:rsid w:val="009C0C10"/>
    <w:rsid w:val="009E4519"/>
    <w:rsid w:val="009E74B6"/>
    <w:rsid w:val="009F441C"/>
    <w:rsid w:val="009F4A2E"/>
    <w:rsid w:val="009F4EED"/>
    <w:rsid w:val="009F50CD"/>
    <w:rsid w:val="009F5FC7"/>
    <w:rsid w:val="00A063AF"/>
    <w:rsid w:val="00A204D5"/>
    <w:rsid w:val="00A4361E"/>
    <w:rsid w:val="00A6093C"/>
    <w:rsid w:val="00A65CB0"/>
    <w:rsid w:val="00A81166"/>
    <w:rsid w:val="00A82BC0"/>
    <w:rsid w:val="00A83F90"/>
    <w:rsid w:val="00A845B2"/>
    <w:rsid w:val="00A85793"/>
    <w:rsid w:val="00AA0EB7"/>
    <w:rsid w:val="00AB2567"/>
    <w:rsid w:val="00AB49E7"/>
    <w:rsid w:val="00AB688C"/>
    <w:rsid w:val="00AC4700"/>
    <w:rsid w:val="00AD0264"/>
    <w:rsid w:val="00AD2CC1"/>
    <w:rsid w:val="00AE0C06"/>
    <w:rsid w:val="00AE4860"/>
    <w:rsid w:val="00AF22C8"/>
    <w:rsid w:val="00AF2C5F"/>
    <w:rsid w:val="00AF48C3"/>
    <w:rsid w:val="00B00386"/>
    <w:rsid w:val="00B11B84"/>
    <w:rsid w:val="00B11D89"/>
    <w:rsid w:val="00B306B2"/>
    <w:rsid w:val="00B507C5"/>
    <w:rsid w:val="00B52256"/>
    <w:rsid w:val="00B53C3B"/>
    <w:rsid w:val="00B57CAD"/>
    <w:rsid w:val="00B60C08"/>
    <w:rsid w:val="00B67DAC"/>
    <w:rsid w:val="00B77402"/>
    <w:rsid w:val="00B90153"/>
    <w:rsid w:val="00B90948"/>
    <w:rsid w:val="00B90E1C"/>
    <w:rsid w:val="00B951C0"/>
    <w:rsid w:val="00BB0121"/>
    <w:rsid w:val="00BB2D74"/>
    <w:rsid w:val="00BB45EF"/>
    <w:rsid w:val="00BB70C1"/>
    <w:rsid w:val="00BB7ACD"/>
    <w:rsid w:val="00BC3A76"/>
    <w:rsid w:val="00BC7009"/>
    <w:rsid w:val="00BD3CD9"/>
    <w:rsid w:val="00BD5D43"/>
    <w:rsid w:val="00BE0377"/>
    <w:rsid w:val="00BE264C"/>
    <w:rsid w:val="00BE3BA4"/>
    <w:rsid w:val="00BE57CA"/>
    <w:rsid w:val="00BF0E6D"/>
    <w:rsid w:val="00BF35A9"/>
    <w:rsid w:val="00C1341F"/>
    <w:rsid w:val="00C1354C"/>
    <w:rsid w:val="00C203AA"/>
    <w:rsid w:val="00C26B6C"/>
    <w:rsid w:val="00C30540"/>
    <w:rsid w:val="00C34718"/>
    <w:rsid w:val="00C52226"/>
    <w:rsid w:val="00C62963"/>
    <w:rsid w:val="00C63EC7"/>
    <w:rsid w:val="00C674B3"/>
    <w:rsid w:val="00C71BBE"/>
    <w:rsid w:val="00C71F25"/>
    <w:rsid w:val="00C72A85"/>
    <w:rsid w:val="00C836B9"/>
    <w:rsid w:val="00C85734"/>
    <w:rsid w:val="00CA39D8"/>
    <w:rsid w:val="00CA555F"/>
    <w:rsid w:val="00CB34B2"/>
    <w:rsid w:val="00CF2756"/>
    <w:rsid w:val="00CF5318"/>
    <w:rsid w:val="00CF630C"/>
    <w:rsid w:val="00D00E31"/>
    <w:rsid w:val="00D0178D"/>
    <w:rsid w:val="00D01F40"/>
    <w:rsid w:val="00D03C1E"/>
    <w:rsid w:val="00D04122"/>
    <w:rsid w:val="00D1040F"/>
    <w:rsid w:val="00D154A4"/>
    <w:rsid w:val="00D15FFF"/>
    <w:rsid w:val="00D2670A"/>
    <w:rsid w:val="00D41071"/>
    <w:rsid w:val="00D431CB"/>
    <w:rsid w:val="00D71B30"/>
    <w:rsid w:val="00D73197"/>
    <w:rsid w:val="00D80653"/>
    <w:rsid w:val="00D80DF4"/>
    <w:rsid w:val="00D91A1B"/>
    <w:rsid w:val="00D9366C"/>
    <w:rsid w:val="00D93EED"/>
    <w:rsid w:val="00DA1DF7"/>
    <w:rsid w:val="00DA37F0"/>
    <w:rsid w:val="00DB65F5"/>
    <w:rsid w:val="00DB6D87"/>
    <w:rsid w:val="00DB7377"/>
    <w:rsid w:val="00DC7D61"/>
    <w:rsid w:val="00DD079B"/>
    <w:rsid w:val="00DF2421"/>
    <w:rsid w:val="00DF5EC6"/>
    <w:rsid w:val="00E07753"/>
    <w:rsid w:val="00E3105C"/>
    <w:rsid w:val="00E33015"/>
    <w:rsid w:val="00E354D3"/>
    <w:rsid w:val="00E45815"/>
    <w:rsid w:val="00E56703"/>
    <w:rsid w:val="00E60F95"/>
    <w:rsid w:val="00E648AA"/>
    <w:rsid w:val="00E748FC"/>
    <w:rsid w:val="00E872E8"/>
    <w:rsid w:val="00E91AE4"/>
    <w:rsid w:val="00E94A45"/>
    <w:rsid w:val="00E95457"/>
    <w:rsid w:val="00EA6634"/>
    <w:rsid w:val="00EA738B"/>
    <w:rsid w:val="00EA751A"/>
    <w:rsid w:val="00EA7E0E"/>
    <w:rsid w:val="00EB0D17"/>
    <w:rsid w:val="00EB18C1"/>
    <w:rsid w:val="00EB1E52"/>
    <w:rsid w:val="00EB3728"/>
    <w:rsid w:val="00EB38B9"/>
    <w:rsid w:val="00EC1CE4"/>
    <w:rsid w:val="00EC238E"/>
    <w:rsid w:val="00ED60FE"/>
    <w:rsid w:val="00ED7024"/>
    <w:rsid w:val="00EE5025"/>
    <w:rsid w:val="00EF5E6F"/>
    <w:rsid w:val="00EF6703"/>
    <w:rsid w:val="00EF7B5C"/>
    <w:rsid w:val="00F15DCD"/>
    <w:rsid w:val="00F17221"/>
    <w:rsid w:val="00F20110"/>
    <w:rsid w:val="00F274B6"/>
    <w:rsid w:val="00F357E6"/>
    <w:rsid w:val="00F374B0"/>
    <w:rsid w:val="00F516D3"/>
    <w:rsid w:val="00F52AF1"/>
    <w:rsid w:val="00F61C7F"/>
    <w:rsid w:val="00F63407"/>
    <w:rsid w:val="00F642F5"/>
    <w:rsid w:val="00F646B9"/>
    <w:rsid w:val="00F64E4D"/>
    <w:rsid w:val="00F66932"/>
    <w:rsid w:val="00F731F1"/>
    <w:rsid w:val="00F74ABE"/>
    <w:rsid w:val="00F75038"/>
    <w:rsid w:val="00F836E8"/>
    <w:rsid w:val="00F90F98"/>
    <w:rsid w:val="00F96568"/>
    <w:rsid w:val="00FA0FC2"/>
    <w:rsid w:val="00FA226A"/>
    <w:rsid w:val="00FA7DD0"/>
    <w:rsid w:val="00FB4179"/>
    <w:rsid w:val="00FC070F"/>
    <w:rsid w:val="00FD0EB4"/>
    <w:rsid w:val="00FD40F9"/>
    <w:rsid w:val="00FE2321"/>
    <w:rsid w:val="00FF15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Elegan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115"/>
    <w:pPr>
      <w:spacing w:line="480" w:lineRule="auto"/>
      <w:jc w:val="both"/>
    </w:pPr>
    <w:rPr>
      <w:sz w:val="22"/>
      <w:szCs w:val="24"/>
      <w:lang w:val="en-US" w:eastAsia="en-US"/>
    </w:rPr>
  </w:style>
  <w:style w:type="paragraph" w:styleId="Overskrift1">
    <w:name w:val="heading 1"/>
    <w:basedOn w:val="Normal"/>
    <w:next w:val="Normal"/>
    <w:link w:val="Overskrift1Tegn"/>
    <w:uiPriority w:val="99"/>
    <w:qFormat/>
    <w:rsid w:val="00822115"/>
    <w:pPr>
      <w:keepNext/>
      <w:spacing w:before="240" w:after="60"/>
      <w:outlineLvl w:val="0"/>
    </w:pPr>
    <w:rPr>
      <w:rFonts w:ascii="Cambria" w:hAnsi="Cambria"/>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822115"/>
    <w:rPr>
      <w:rFonts w:ascii="Cambria" w:hAnsi="Cambria" w:cs="Times New Roman"/>
      <w:b/>
      <w:bCs/>
      <w:kern w:val="32"/>
      <w:sz w:val="32"/>
      <w:szCs w:val="32"/>
      <w:lang w:val="en-US" w:eastAsia="en-US"/>
    </w:rPr>
  </w:style>
  <w:style w:type="paragraph" w:styleId="Tittel">
    <w:name w:val="Title"/>
    <w:basedOn w:val="Normal"/>
    <w:next w:val="Normal"/>
    <w:link w:val="TittelTegn"/>
    <w:uiPriority w:val="99"/>
    <w:qFormat/>
    <w:rsid w:val="00822115"/>
    <w:pPr>
      <w:spacing w:before="240" w:after="60"/>
      <w:jc w:val="center"/>
      <w:outlineLvl w:val="0"/>
    </w:pPr>
    <w:rPr>
      <w:rFonts w:ascii="Cambria" w:hAnsi="Cambria"/>
      <w:b/>
      <w:bCs/>
      <w:kern w:val="28"/>
      <w:sz w:val="32"/>
      <w:szCs w:val="32"/>
    </w:rPr>
  </w:style>
  <w:style w:type="character" w:customStyle="1" w:styleId="TittelTegn">
    <w:name w:val="Tittel Tegn"/>
    <w:basedOn w:val="Standardskriftforavsnitt"/>
    <w:link w:val="Tittel"/>
    <w:uiPriority w:val="99"/>
    <w:locked/>
    <w:rsid w:val="00822115"/>
    <w:rPr>
      <w:rFonts w:ascii="Cambria" w:hAnsi="Cambria" w:cs="Times New Roman"/>
      <w:b/>
      <w:bCs/>
      <w:kern w:val="28"/>
      <w:sz w:val="32"/>
      <w:szCs w:val="32"/>
      <w:lang w:val="en-US" w:eastAsia="en-US"/>
    </w:rPr>
  </w:style>
  <w:style w:type="paragraph" w:styleId="Undertittel">
    <w:name w:val="Subtitle"/>
    <w:basedOn w:val="Normal"/>
    <w:next w:val="Normal"/>
    <w:link w:val="UndertittelTegn"/>
    <w:uiPriority w:val="99"/>
    <w:qFormat/>
    <w:rsid w:val="00822115"/>
    <w:pPr>
      <w:spacing w:after="60"/>
      <w:jc w:val="center"/>
      <w:outlineLvl w:val="1"/>
    </w:pPr>
    <w:rPr>
      <w:rFonts w:ascii="Cambria" w:hAnsi="Cambria"/>
      <w:sz w:val="24"/>
    </w:rPr>
  </w:style>
  <w:style w:type="character" w:customStyle="1" w:styleId="UndertittelTegn">
    <w:name w:val="Undertittel Tegn"/>
    <w:basedOn w:val="Standardskriftforavsnitt"/>
    <w:link w:val="Undertittel"/>
    <w:uiPriority w:val="99"/>
    <w:locked/>
    <w:rsid w:val="00822115"/>
    <w:rPr>
      <w:rFonts w:ascii="Cambria" w:hAnsi="Cambria" w:cs="Times New Roman"/>
      <w:sz w:val="24"/>
      <w:szCs w:val="24"/>
      <w:lang w:val="en-US" w:eastAsia="en-US"/>
    </w:rPr>
  </w:style>
  <w:style w:type="character" w:styleId="Sterk">
    <w:name w:val="Strong"/>
    <w:basedOn w:val="Standardskriftforavsnitt"/>
    <w:uiPriority w:val="99"/>
    <w:qFormat/>
    <w:rsid w:val="00822115"/>
    <w:rPr>
      <w:rFonts w:cs="Times New Roman"/>
      <w:b/>
      <w:bCs/>
    </w:rPr>
  </w:style>
  <w:style w:type="character" w:styleId="Utheving">
    <w:name w:val="Emphasis"/>
    <w:basedOn w:val="Standardskriftforavsnitt"/>
    <w:uiPriority w:val="99"/>
    <w:qFormat/>
    <w:rsid w:val="00822115"/>
    <w:rPr>
      <w:rFonts w:cs="Times New Roman"/>
      <w:b/>
      <w:bCs/>
    </w:rPr>
  </w:style>
  <w:style w:type="paragraph" w:customStyle="1" w:styleId="Listeavsnitt1">
    <w:name w:val="Listeavsnitt1"/>
    <w:basedOn w:val="Normal"/>
    <w:uiPriority w:val="99"/>
    <w:qFormat/>
    <w:rsid w:val="00100D01"/>
    <w:pPr>
      <w:ind w:left="720"/>
      <w:contextualSpacing/>
    </w:pPr>
  </w:style>
  <w:style w:type="character" w:styleId="Hyperkobling">
    <w:name w:val="Hyperlink"/>
    <w:basedOn w:val="Standardskriftforavsnitt"/>
    <w:uiPriority w:val="99"/>
    <w:rsid w:val="002D05EC"/>
    <w:rPr>
      <w:rFonts w:cs="Times New Roman"/>
      <w:color w:val="0000FF"/>
      <w:u w:val="single"/>
    </w:rPr>
  </w:style>
  <w:style w:type="table" w:styleId="Tabell-elegant">
    <w:name w:val="Table Elegant"/>
    <w:basedOn w:val="Vanligtabell"/>
    <w:uiPriority w:val="99"/>
    <w:rsid w:val="002D05EC"/>
    <w:rPr>
      <w:lang w:val="en-GB" w:eastAsia="en-GB"/>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Lysskyggelegging-uthevingsfarge11">
    <w:name w:val="Lys skyggelegging - uthevingsfarge 11"/>
    <w:basedOn w:val="Vanligtabell"/>
    <w:uiPriority w:val="99"/>
    <w:rsid w:val="002D05EC"/>
    <w:rPr>
      <w:color w:val="365F91"/>
      <w:lang w:val="en-GB"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Fotnotereferanse">
    <w:name w:val="footnote reference"/>
    <w:aliases w:val="Footnote Ref-format"/>
    <w:basedOn w:val="Standardskriftforavsnitt"/>
    <w:uiPriority w:val="99"/>
    <w:rsid w:val="006B2C12"/>
    <w:rPr>
      <w:rFonts w:cs="Times New Roman"/>
      <w:vertAlign w:val="superscript"/>
    </w:rPr>
  </w:style>
  <w:style w:type="paragraph" w:styleId="Fotnotetekst">
    <w:name w:val="footnote text"/>
    <w:aliases w:val="DSE note"/>
    <w:basedOn w:val="Normal"/>
    <w:link w:val="FotnotetekstTegn"/>
    <w:uiPriority w:val="99"/>
    <w:rsid w:val="007372E3"/>
    <w:pPr>
      <w:spacing w:line="240" w:lineRule="auto"/>
      <w:jc w:val="left"/>
    </w:pPr>
    <w:rPr>
      <w:rFonts w:ascii="CG Times" w:hAnsi="CG Times"/>
      <w:sz w:val="20"/>
      <w:szCs w:val="20"/>
    </w:rPr>
  </w:style>
  <w:style w:type="character" w:customStyle="1" w:styleId="FotnotetekstTegn">
    <w:name w:val="Fotnotetekst Tegn"/>
    <w:aliases w:val="DSE note Tegn"/>
    <w:basedOn w:val="Standardskriftforavsnitt"/>
    <w:link w:val="Fotnotetekst"/>
    <w:uiPriority w:val="99"/>
    <w:locked/>
    <w:rsid w:val="007372E3"/>
    <w:rPr>
      <w:rFonts w:ascii="CG Times" w:hAnsi="CG Times" w:cs="Times New Roman"/>
      <w:lang w:val="en-US" w:eastAsia="en-US"/>
    </w:rPr>
  </w:style>
  <w:style w:type="character" w:customStyle="1" w:styleId="address">
    <w:name w:val="address"/>
    <w:basedOn w:val="Standardskriftforavsnitt"/>
    <w:uiPriority w:val="99"/>
    <w:rsid w:val="007372E3"/>
    <w:rPr>
      <w:rFonts w:cs="Times New Roman"/>
    </w:rPr>
  </w:style>
  <w:style w:type="paragraph" w:styleId="Bobletekst">
    <w:name w:val="Balloon Text"/>
    <w:basedOn w:val="Normal"/>
    <w:link w:val="BobletekstTegn"/>
    <w:uiPriority w:val="99"/>
    <w:semiHidden/>
    <w:rsid w:val="007372E3"/>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372E3"/>
    <w:rPr>
      <w:rFonts w:ascii="Tahoma" w:hAnsi="Tahoma" w:cs="Tahoma"/>
      <w:sz w:val="16"/>
      <w:szCs w:val="16"/>
      <w:lang w:val="en-US" w:eastAsia="en-US"/>
    </w:rPr>
  </w:style>
  <w:style w:type="paragraph" w:styleId="Brdtekst">
    <w:name w:val="Body Text"/>
    <w:basedOn w:val="Normal"/>
    <w:link w:val="BrdtekstTegn"/>
    <w:uiPriority w:val="99"/>
    <w:semiHidden/>
    <w:rsid w:val="00BC7009"/>
    <w:pPr>
      <w:suppressAutoHyphens/>
      <w:spacing w:line="240" w:lineRule="auto"/>
      <w:jc w:val="center"/>
    </w:pPr>
    <w:rPr>
      <w:b/>
      <w:sz w:val="32"/>
      <w:szCs w:val="20"/>
      <w:lang w:val="en-GB"/>
    </w:rPr>
  </w:style>
  <w:style w:type="character" w:customStyle="1" w:styleId="BrdtekstTegn">
    <w:name w:val="Brødtekst Tegn"/>
    <w:basedOn w:val="Standardskriftforavsnitt"/>
    <w:link w:val="Brdtekst"/>
    <w:uiPriority w:val="99"/>
    <w:semiHidden/>
    <w:locked/>
    <w:rsid w:val="00BC7009"/>
    <w:rPr>
      <w:rFonts w:cs="Times New Roman"/>
      <w:b/>
      <w:sz w:val="32"/>
      <w:lang w:val="en-GB" w:eastAsia="en-US"/>
    </w:rPr>
  </w:style>
  <w:style w:type="character" w:customStyle="1" w:styleId="Voetnoottekens">
    <w:name w:val="Voetnoottekens"/>
    <w:basedOn w:val="Standardskriftforavsnitt"/>
    <w:uiPriority w:val="99"/>
    <w:rsid w:val="002725CB"/>
    <w:rPr>
      <w:rFonts w:cs="Times New Roman"/>
      <w:vertAlign w:val="superscript"/>
    </w:rPr>
  </w:style>
  <w:style w:type="paragraph" w:customStyle="1" w:styleId="Default">
    <w:name w:val="Default"/>
    <w:uiPriority w:val="99"/>
    <w:rsid w:val="002725CB"/>
    <w:pPr>
      <w:suppressAutoHyphens/>
      <w:autoSpaceDE w:val="0"/>
    </w:pPr>
    <w:rPr>
      <w:rFonts w:ascii="Calibri" w:eastAsia="SimSun" w:hAnsi="Calibri" w:cs="Calibri"/>
      <w:color w:val="000000"/>
      <w:sz w:val="24"/>
      <w:szCs w:val="24"/>
      <w:lang w:val="en-US" w:eastAsia="ar-SA"/>
    </w:rPr>
  </w:style>
  <w:style w:type="paragraph" w:customStyle="1" w:styleId="Opmaakprofiel2">
    <w:name w:val="Opmaakprofiel2"/>
    <w:basedOn w:val="Normal"/>
    <w:link w:val="Opmaakprofiel2Char"/>
    <w:uiPriority w:val="99"/>
    <w:rsid w:val="00602291"/>
    <w:pPr>
      <w:spacing w:line="360" w:lineRule="auto"/>
    </w:pPr>
    <w:rPr>
      <w:rFonts w:eastAsia="SimSun"/>
      <w:noProof/>
      <w:sz w:val="24"/>
      <w:lang w:eastAsia="nl-NL"/>
    </w:rPr>
  </w:style>
  <w:style w:type="character" w:customStyle="1" w:styleId="Opmaakprofiel2Char">
    <w:name w:val="Opmaakprofiel2 Char"/>
    <w:basedOn w:val="Standardskriftforavsnitt"/>
    <w:link w:val="Opmaakprofiel2"/>
    <w:uiPriority w:val="99"/>
    <w:locked/>
    <w:rsid w:val="00602291"/>
    <w:rPr>
      <w:rFonts w:eastAsia="SimSun" w:cs="Times New Roman"/>
      <w:noProof/>
      <w:sz w:val="24"/>
      <w:szCs w:val="24"/>
      <w:lang w:val="en-US" w:eastAsia="nl-NL" w:bidi="ar-SA"/>
    </w:rPr>
  </w:style>
  <w:style w:type="character" w:styleId="Merknadsreferanse">
    <w:name w:val="annotation reference"/>
    <w:basedOn w:val="Standardskriftforavsnitt"/>
    <w:uiPriority w:val="99"/>
    <w:semiHidden/>
    <w:unhideWhenUsed/>
    <w:rsid w:val="0038260D"/>
    <w:rPr>
      <w:sz w:val="16"/>
      <w:szCs w:val="16"/>
    </w:rPr>
  </w:style>
  <w:style w:type="paragraph" w:styleId="Merknadstekst">
    <w:name w:val="annotation text"/>
    <w:basedOn w:val="Normal"/>
    <w:link w:val="MerknadstekstTegn"/>
    <w:uiPriority w:val="99"/>
    <w:semiHidden/>
    <w:unhideWhenUsed/>
    <w:rsid w:val="0038260D"/>
    <w:rPr>
      <w:sz w:val="20"/>
      <w:szCs w:val="20"/>
    </w:rPr>
  </w:style>
  <w:style w:type="character" w:customStyle="1" w:styleId="MerknadstekstTegn">
    <w:name w:val="Merknadstekst Tegn"/>
    <w:basedOn w:val="Standardskriftforavsnitt"/>
    <w:link w:val="Merknadstekst"/>
    <w:uiPriority w:val="99"/>
    <w:semiHidden/>
    <w:rsid w:val="0038260D"/>
    <w:rPr>
      <w:sz w:val="20"/>
      <w:szCs w:val="20"/>
    </w:rPr>
  </w:style>
  <w:style w:type="paragraph" w:styleId="Kommentaremne">
    <w:name w:val="annotation subject"/>
    <w:basedOn w:val="Merknadstekst"/>
    <w:next w:val="Merknadstekst"/>
    <w:link w:val="KommentaremneTegn"/>
    <w:uiPriority w:val="99"/>
    <w:semiHidden/>
    <w:unhideWhenUsed/>
    <w:rsid w:val="0038260D"/>
    <w:rPr>
      <w:b/>
      <w:bCs/>
    </w:rPr>
  </w:style>
  <w:style w:type="character" w:customStyle="1" w:styleId="KommentaremneTegn">
    <w:name w:val="Kommentaremne Tegn"/>
    <w:basedOn w:val="MerknadstekstTegn"/>
    <w:link w:val="Kommentaremne"/>
    <w:uiPriority w:val="99"/>
    <w:semiHidden/>
    <w:rsid w:val="0038260D"/>
    <w:rPr>
      <w:b/>
      <w:bCs/>
      <w:sz w:val="20"/>
      <w:szCs w:val="20"/>
    </w:rPr>
  </w:style>
  <w:style w:type="paragraph" w:styleId="Rentekst">
    <w:name w:val="Plain Text"/>
    <w:basedOn w:val="Normal"/>
    <w:link w:val="RentekstTegn"/>
    <w:uiPriority w:val="99"/>
    <w:unhideWhenUsed/>
    <w:rsid w:val="006E016E"/>
    <w:pPr>
      <w:spacing w:line="240" w:lineRule="auto"/>
      <w:jc w:val="left"/>
    </w:pPr>
    <w:rPr>
      <w:rFonts w:ascii="Consolas" w:hAnsi="Consolas"/>
      <w:sz w:val="21"/>
      <w:szCs w:val="21"/>
      <w:lang w:val="en-GB"/>
    </w:rPr>
  </w:style>
  <w:style w:type="character" w:customStyle="1" w:styleId="RentekstTegn">
    <w:name w:val="Ren tekst Tegn"/>
    <w:basedOn w:val="Standardskriftforavsnitt"/>
    <w:link w:val="Rentekst"/>
    <w:uiPriority w:val="99"/>
    <w:rsid w:val="006E016E"/>
    <w:rPr>
      <w:rFonts w:ascii="Consolas" w:hAnsi="Consolas"/>
      <w:sz w:val="21"/>
      <w:szCs w:val="21"/>
      <w:lang w:val="en-GB"/>
    </w:rPr>
  </w:style>
  <w:style w:type="paragraph" w:styleId="Bunntekst">
    <w:name w:val="footer"/>
    <w:basedOn w:val="Normal"/>
    <w:rsid w:val="005074F3"/>
    <w:pPr>
      <w:tabs>
        <w:tab w:val="center" w:pos="4320"/>
        <w:tab w:val="right" w:pos="8640"/>
      </w:tabs>
    </w:pPr>
  </w:style>
  <w:style w:type="character" w:styleId="Sidetall">
    <w:name w:val="page number"/>
    <w:basedOn w:val="Standardskriftforavsnitt"/>
    <w:rsid w:val="005074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Elegan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115"/>
    <w:pPr>
      <w:spacing w:line="480" w:lineRule="auto"/>
      <w:jc w:val="both"/>
    </w:pPr>
    <w:rPr>
      <w:sz w:val="22"/>
      <w:szCs w:val="24"/>
      <w:lang w:val="en-US" w:eastAsia="en-US"/>
    </w:rPr>
  </w:style>
  <w:style w:type="paragraph" w:styleId="Overskrift1">
    <w:name w:val="heading 1"/>
    <w:basedOn w:val="Normal"/>
    <w:next w:val="Normal"/>
    <w:link w:val="Overskrift1Tegn"/>
    <w:uiPriority w:val="99"/>
    <w:qFormat/>
    <w:rsid w:val="00822115"/>
    <w:pPr>
      <w:keepNext/>
      <w:spacing w:before="240" w:after="60"/>
      <w:outlineLvl w:val="0"/>
    </w:pPr>
    <w:rPr>
      <w:rFonts w:ascii="Cambria" w:hAnsi="Cambria"/>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822115"/>
    <w:rPr>
      <w:rFonts w:ascii="Cambria" w:hAnsi="Cambria" w:cs="Times New Roman"/>
      <w:b/>
      <w:bCs/>
      <w:kern w:val="32"/>
      <w:sz w:val="32"/>
      <w:szCs w:val="32"/>
      <w:lang w:val="en-US" w:eastAsia="en-US"/>
    </w:rPr>
  </w:style>
  <w:style w:type="paragraph" w:styleId="Tittel">
    <w:name w:val="Title"/>
    <w:basedOn w:val="Normal"/>
    <w:next w:val="Normal"/>
    <w:link w:val="TittelTegn"/>
    <w:uiPriority w:val="99"/>
    <w:qFormat/>
    <w:rsid w:val="00822115"/>
    <w:pPr>
      <w:spacing w:before="240" w:after="60"/>
      <w:jc w:val="center"/>
      <w:outlineLvl w:val="0"/>
    </w:pPr>
    <w:rPr>
      <w:rFonts w:ascii="Cambria" w:hAnsi="Cambria"/>
      <w:b/>
      <w:bCs/>
      <w:kern w:val="28"/>
      <w:sz w:val="32"/>
      <w:szCs w:val="32"/>
    </w:rPr>
  </w:style>
  <w:style w:type="character" w:customStyle="1" w:styleId="TittelTegn">
    <w:name w:val="Tittel Tegn"/>
    <w:basedOn w:val="Standardskriftforavsnitt"/>
    <w:link w:val="Tittel"/>
    <w:uiPriority w:val="99"/>
    <w:locked/>
    <w:rsid w:val="00822115"/>
    <w:rPr>
      <w:rFonts w:ascii="Cambria" w:hAnsi="Cambria" w:cs="Times New Roman"/>
      <w:b/>
      <w:bCs/>
      <w:kern w:val="28"/>
      <w:sz w:val="32"/>
      <w:szCs w:val="32"/>
      <w:lang w:val="en-US" w:eastAsia="en-US"/>
    </w:rPr>
  </w:style>
  <w:style w:type="paragraph" w:styleId="Undertittel">
    <w:name w:val="Subtitle"/>
    <w:basedOn w:val="Normal"/>
    <w:next w:val="Normal"/>
    <w:link w:val="UndertittelTegn"/>
    <w:uiPriority w:val="99"/>
    <w:qFormat/>
    <w:rsid w:val="00822115"/>
    <w:pPr>
      <w:spacing w:after="60"/>
      <w:jc w:val="center"/>
      <w:outlineLvl w:val="1"/>
    </w:pPr>
    <w:rPr>
      <w:rFonts w:ascii="Cambria" w:hAnsi="Cambria"/>
      <w:sz w:val="24"/>
    </w:rPr>
  </w:style>
  <w:style w:type="character" w:customStyle="1" w:styleId="UndertittelTegn">
    <w:name w:val="Undertittel Tegn"/>
    <w:basedOn w:val="Standardskriftforavsnitt"/>
    <w:link w:val="Undertittel"/>
    <w:uiPriority w:val="99"/>
    <w:locked/>
    <w:rsid w:val="00822115"/>
    <w:rPr>
      <w:rFonts w:ascii="Cambria" w:hAnsi="Cambria" w:cs="Times New Roman"/>
      <w:sz w:val="24"/>
      <w:szCs w:val="24"/>
      <w:lang w:val="en-US" w:eastAsia="en-US"/>
    </w:rPr>
  </w:style>
  <w:style w:type="character" w:styleId="Sterk">
    <w:name w:val="Strong"/>
    <w:basedOn w:val="Standardskriftforavsnitt"/>
    <w:uiPriority w:val="99"/>
    <w:qFormat/>
    <w:rsid w:val="00822115"/>
    <w:rPr>
      <w:rFonts w:cs="Times New Roman"/>
      <w:b/>
      <w:bCs/>
    </w:rPr>
  </w:style>
  <w:style w:type="character" w:styleId="Utheving">
    <w:name w:val="Emphasis"/>
    <w:basedOn w:val="Standardskriftforavsnitt"/>
    <w:uiPriority w:val="99"/>
    <w:qFormat/>
    <w:rsid w:val="00822115"/>
    <w:rPr>
      <w:rFonts w:cs="Times New Roman"/>
      <w:b/>
      <w:bCs/>
    </w:rPr>
  </w:style>
  <w:style w:type="paragraph" w:customStyle="1" w:styleId="Listeavsnitt1">
    <w:name w:val="Listeavsnitt1"/>
    <w:basedOn w:val="Normal"/>
    <w:uiPriority w:val="99"/>
    <w:qFormat/>
    <w:rsid w:val="00100D01"/>
    <w:pPr>
      <w:ind w:left="720"/>
      <w:contextualSpacing/>
    </w:pPr>
  </w:style>
  <w:style w:type="character" w:styleId="Hyperkobling">
    <w:name w:val="Hyperlink"/>
    <w:basedOn w:val="Standardskriftforavsnitt"/>
    <w:uiPriority w:val="99"/>
    <w:rsid w:val="002D05EC"/>
    <w:rPr>
      <w:rFonts w:cs="Times New Roman"/>
      <w:color w:val="0000FF"/>
      <w:u w:val="single"/>
    </w:rPr>
  </w:style>
  <w:style w:type="table" w:styleId="Tabell-elegant">
    <w:name w:val="Table Elegant"/>
    <w:basedOn w:val="Vanligtabell"/>
    <w:uiPriority w:val="99"/>
    <w:rsid w:val="002D05EC"/>
    <w:rPr>
      <w:lang w:val="en-GB" w:eastAsia="en-GB"/>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Lysskyggelegging-uthevingsfarge11">
    <w:name w:val="Lys skyggelegging - uthevingsfarge 11"/>
    <w:basedOn w:val="Vanligtabell"/>
    <w:uiPriority w:val="99"/>
    <w:rsid w:val="002D05EC"/>
    <w:rPr>
      <w:color w:val="365F91"/>
      <w:lang w:val="en-GB"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Fotnotereferanse">
    <w:name w:val="footnote reference"/>
    <w:aliases w:val="Footnote Ref-format"/>
    <w:basedOn w:val="Standardskriftforavsnitt"/>
    <w:uiPriority w:val="99"/>
    <w:rsid w:val="006B2C12"/>
    <w:rPr>
      <w:rFonts w:cs="Times New Roman"/>
      <w:vertAlign w:val="superscript"/>
    </w:rPr>
  </w:style>
  <w:style w:type="paragraph" w:styleId="Fotnotetekst">
    <w:name w:val="footnote text"/>
    <w:aliases w:val="DSE note"/>
    <w:basedOn w:val="Normal"/>
    <w:link w:val="FotnotetekstTegn"/>
    <w:uiPriority w:val="99"/>
    <w:rsid w:val="007372E3"/>
    <w:pPr>
      <w:spacing w:line="240" w:lineRule="auto"/>
      <w:jc w:val="left"/>
    </w:pPr>
    <w:rPr>
      <w:rFonts w:ascii="CG Times" w:hAnsi="CG Times"/>
      <w:sz w:val="20"/>
      <w:szCs w:val="20"/>
    </w:rPr>
  </w:style>
  <w:style w:type="character" w:customStyle="1" w:styleId="FotnotetekstTegn">
    <w:name w:val="Fotnotetekst Tegn"/>
    <w:aliases w:val="DSE note Tegn"/>
    <w:basedOn w:val="Standardskriftforavsnitt"/>
    <w:link w:val="Fotnotetekst"/>
    <w:uiPriority w:val="99"/>
    <w:locked/>
    <w:rsid w:val="007372E3"/>
    <w:rPr>
      <w:rFonts w:ascii="CG Times" w:hAnsi="CG Times" w:cs="Times New Roman"/>
      <w:lang w:val="en-US" w:eastAsia="en-US"/>
    </w:rPr>
  </w:style>
  <w:style w:type="character" w:customStyle="1" w:styleId="address">
    <w:name w:val="address"/>
    <w:basedOn w:val="Standardskriftforavsnitt"/>
    <w:uiPriority w:val="99"/>
    <w:rsid w:val="007372E3"/>
    <w:rPr>
      <w:rFonts w:cs="Times New Roman"/>
    </w:rPr>
  </w:style>
  <w:style w:type="paragraph" w:styleId="Bobletekst">
    <w:name w:val="Balloon Text"/>
    <w:basedOn w:val="Normal"/>
    <w:link w:val="BobletekstTegn"/>
    <w:uiPriority w:val="99"/>
    <w:semiHidden/>
    <w:rsid w:val="007372E3"/>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372E3"/>
    <w:rPr>
      <w:rFonts w:ascii="Tahoma" w:hAnsi="Tahoma" w:cs="Tahoma"/>
      <w:sz w:val="16"/>
      <w:szCs w:val="16"/>
      <w:lang w:val="en-US" w:eastAsia="en-US"/>
    </w:rPr>
  </w:style>
  <w:style w:type="paragraph" w:styleId="Brdtekst">
    <w:name w:val="Body Text"/>
    <w:basedOn w:val="Normal"/>
    <w:link w:val="BrdtekstTegn"/>
    <w:uiPriority w:val="99"/>
    <w:semiHidden/>
    <w:rsid w:val="00BC7009"/>
    <w:pPr>
      <w:suppressAutoHyphens/>
      <w:spacing w:line="240" w:lineRule="auto"/>
      <w:jc w:val="center"/>
    </w:pPr>
    <w:rPr>
      <w:b/>
      <w:sz w:val="32"/>
      <w:szCs w:val="20"/>
      <w:lang w:val="en-GB"/>
    </w:rPr>
  </w:style>
  <w:style w:type="character" w:customStyle="1" w:styleId="BrdtekstTegn">
    <w:name w:val="Brødtekst Tegn"/>
    <w:basedOn w:val="Standardskriftforavsnitt"/>
    <w:link w:val="Brdtekst"/>
    <w:uiPriority w:val="99"/>
    <w:semiHidden/>
    <w:locked/>
    <w:rsid w:val="00BC7009"/>
    <w:rPr>
      <w:rFonts w:cs="Times New Roman"/>
      <w:b/>
      <w:sz w:val="32"/>
      <w:lang w:val="en-GB" w:eastAsia="en-US"/>
    </w:rPr>
  </w:style>
  <w:style w:type="character" w:customStyle="1" w:styleId="Voetnoottekens">
    <w:name w:val="Voetnoottekens"/>
    <w:basedOn w:val="Standardskriftforavsnitt"/>
    <w:uiPriority w:val="99"/>
    <w:rsid w:val="002725CB"/>
    <w:rPr>
      <w:rFonts w:cs="Times New Roman"/>
      <w:vertAlign w:val="superscript"/>
    </w:rPr>
  </w:style>
  <w:style w:type="paragraph" w:customStyle="1" w:styleId="Default">
    <w:name w:val="Default"/>
    <w:uiPriority w:val="99"/>
    <w:rsid w:val="002725CB"/>
    <w:pPr>
      <w:suppressAutoHyphens/>
      <w:autoSpaceDE w:val="0"/>
    </w:pPr>
    <w:rPr>
      <w:rFonts w:ascii="Calibri" w:eastAsia="SimSun" w:hAnsi="Calibri" w:cs="Calibri"/>
      <w:color w:val="000000"/>
      <w:sz w:val="24"/>
      <w:szCs w:val="24"/>
      <w:lang w:val="en-US" w:eastAsia="ar-SA"/>
    </w:rPr>
  </w:style>
  <w:style w:type="paragraph" w:customStyle="1" w:styleId="Opmaakprofiel2">
    <w:name w:val="Opmaakprofiel2"/>
    <w:basedOn w:val="Normal"/>
    <w:link w:val="Opmaakprofiel2Char"/>
    <w:uiPriority w:val="99"/>
    <w:rsid w:val="00602291"/>
    <w:pPr>
      <w:spacing w:line="360" w:lineRule="auto"/>
    </w:pPr>
    <w:rPr>
      <w:rFonts w:eastAsia="SimSun"/>
      <w:noProof/>
      <w:sz w:val="24"/>
      <w:lang w:eastAsia="nl-NL"/>
    </w:rPr>
  </w:style>
  <w:style w:type="character" w:customStyle="1" w:styleId="Opmaakprofiel2Char">
    <w:name w:val="Opmaakprofiel2 Char"/>
    <w:basedOn w:val="Standardskriftforavsnitt"/>
    <w:link w:val="Opmaakprofiel2"/>
    <w:uiPriority w:val="99"/>
    <w:locked/>
    <w:rsid w:val="00602291"/>
    <w:rPr>
      <w:rFonts w:eastAsia="SimSun" w:cs="Times New Roman"/>
      <w:noProof/>
      <w:sz w:val="24"/>
      <w:szCs w:val="24"/>
      <w:lang w:val="en-US" w:eastAsia="nl-NL" w:bidi="ar-SA"/>
    </w:rPr>
  </w:style>
  <w:style w:type="character" w:styleId="Merknadsreferanse">
    <w:name w:val="annotation reference"/>
    <w:basedOn w:val="Standardskriftforavsnitt"/>
    <w:uiPriority w:val="99"/>
    <w:semiHidden/>
    <w:unhideWhenUsed/>
    <w:rsid w:val="0038260D"/>
    <w:rPr>
      <w:sz w:val="16"/>
      <w:szCs w:val="16"/>
    </w:rPr>
  </w:style>
  <w:style w:type="paragraph" w:styleId="Merknadstekst">
    <w:name w:val="annotation text"/>
    <w:basedOn w:val="Normal"/>
    <w:link w:val="MerknadstekstTegn"/>
    <w:uiPriority w:val="99"/>
    <w:semiHidden/>
    <w:unhideWhenUsed/>
    <w:rsid w:val="0038260D"/>
    <w:rPr>
      <w:sz w:val="20"/>
      <w:szCs w:val="20"/>
    </w:rPr>
  </w:style>
  <w:style w:type="character" w:customStyle="1" w:styleId="MerknadstekstTegn">
    <w:name w:val="Merknadstekst Tegn"/>
    <w:basedOn w:val="Standardskriftforavsnitt"/>
    <w:link w:val="Merknadstekst"/>
    <w:uiPriority w:val="99"/>
    <w:semiHidden/>
    <w:rsid w:val="0038260D"/>
    <w:rPr>
      <w:sz w:val="20"/>
      <w:szCs w:val="20"/>
    </w:rPr>
  </w:style>
  <w:style w:type="paragraph" w:styleId="Kommentaremne">
    <w:name w:val="annotation subject"/>
    <w:basedOn w:val="Merknadstekst"/>
    <w:next w:val="Merknadstekst"/>
    <w:link w:val="KommentaremneTegn"/>
    <w:uiPriority w:val="99"/>
    <w:semiHidden/>
    <w:unhideWhenUsed/>
    <w:rsid w:val="0038260D"/>
    <w:rPr>
      <w:b/>
      <w:bCs/>
    </w:rPr>
  </w:style>
  <w:style w:type="character" w:customStyle="1" w:styleId="KommentaremneTegn">
    <w:name w:val="Kommentaremne Tegn"/>
    <w:basedOn w:val="MerknadstekstTegn"/>
    <w:link w:val="Kommentaremne"/>
    <w:uiPriority w:val="99"/>
    <w:semiHidden/>
    <w:rsid w:val="0038260D"/>
    <w:rPr>
      <w:b/>
      <w:bCs/>
      <w:sz w:val="20"/>
      <w:szCs w:val="20"/>
    </w:rPr>
  </w:style>
  <w:style w:type="paragraph" w:styleId="Rentekst">
    <w:name w:val="Plain Text"/>
    <w:basedOn w:val="Normal"/>
    <w:link w:val="RentekstTegn"/>
    <w:uiPriority w:val="99"/>
    <w:unhideWhenUsed/>
    <w:rsid w:val="006E016E"/>
    <w:pPr>
      <w:spacing w:line="240" w:lineRule="auto"/>
      <w:jc w:val="left"/>
    </w:pPr>
    <w:rPr>
      <w:rFonts w:ascii="Consolas" w:hAnsi="Consolas"/>
      <w:sz w:val="21"/>
      <w:szCs w:val="21"/>
      <w:lang w:val="en-GB"/>
    </w:rPr>
  </w:style>
  <w:style w:type="character" w:customStyle="1" w:styleId="RentekstTegn">
    <w:name w:val="Ren tekst Tegn"/>
    <w:basedOn w:val="Standardskriftforavsnitt"/>
    <w:link w:val="Rentekst"/>
    <w:uiPriority w:val="99"/>
    <w:rsid w:val="006E016E"/>
    <w:rPr>
      <w:rFonts w:ascii="Consolas" w:hAnsi="Consolas"/>
      <w:sz w:val="21"/>
      <w:szCs w:val="21"/>
      <w:lang w:val="en-GB"/>
    </w:rPr>
  </w:style>
  <w:style w:type="paragraph" w:styleId="Bunntekst">
    <w:name w:val="footer"/>
    <w:basedOn w:val="Normal"/>
    <w:rsid w:val="005074F3"/>
    <w:pPr>
      <w:tabs>
        <w:tab w:val="center" w:pos="4320"/>
        <w:tab w:val="right" w:pos="8640"/>
      </w:tabs>
    </w:pPr>
  </w:style>
  <w:style w:type="character" w:styleId="Sidetall">
    <w:name w:val="page number"/>
    <w:basedOn w:val="Standardskriftforavsnitt"/>
    <w:rsid w:val="00507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16885">
      <w:marLeft w:val="0"/>
      <w:marRight w:val="0"/>
      <w:marTop w:val="0"/>
      <w:marBottom w:val="0"/>
      <w:divBdr>
        <w:top w:val="none" w:sz="0" w:space="0" w:color="auto"/>
        <w:left w:val="none" w:sz="0" w:space="0" w:color="auto"/>
        <w:bottom w:val="none" w:sz="0" w:space="0" w:color="auto"/>
        <w:right w:val="none" w:sz="0" w:space="0" w:color="auto"/>
      </w:divBdr>
      <w:divsChild>
        <w:div w:id="358316887">
          <w:marLeft w:val="547"/>
          <w:marRight w:val="0"/>
          <w:marTop w:val="154"/>
          <w:marBottom w:val="0"/>
          <w:divBdr>
            <w:top w:val="none" w:sz="0" w:space="0" w:color="auto"/>
            <w:left w:val="none" w:sz="0" w:space="0" w:color="auto"/>
            <w:bottom w:val="none" w:sz="0" w:space="0" w:color="auto"/>
            <w:right w:val="none" w:sz="0" w:space="0" w:color="auto"/>
          </w:divBdr>
        </w:div>
        <w:div w:id="358316888">
          <w:marLeft w:val="547"/>
          <w:marRight w:val="0"/>
          <w:marTop w:val="154"/>
          <w:marBottom w:val="0"/>
          <w:divBdr>
            <w:top w:val="none" w:sz="0" w:space="0" w:color="auto"/>
            <w:left w:val="none" w:sz="0" w:space="0" w:color="auto"/>
            <w:bottom w:val="none" w:sz="0" w:space="0" w:color="auto"/>
            <w:right w:val="none" w:sz="0" w:space="0" w:color="auto"/>
          </w:divBdr>
        </w:div>
        <w:div w:id="358316893">
          <w:marLeft w:val="547"/>
          <w:marRight w:val="0"/>
          <w:marTop w:val="154"/>
          <w:marBottom w:val="0"/>
          <w:divBdr>
            <w:top w:val="none" w:sz="0" w:space="0" w:color="auto"/>
            <w:left w:val="none" w:sz="0" w:space="0" w:color="auto"/>
            <w:bottom w:val="none" w:sz="0" w:space="0" w:color="auto"/>
            <w:right w:val="none" w:sz="0" w:space="0" w:color="auto"/>
          </w:divBdr>
        </w:div>
      </w:divsChild>
    </w:div>
    <w:div w:id="358316886">
      <w:marLeft w:val="0"/>
      <w:marRight w:val="0"/>
      <w:marTop w:val="0"/>
      <w:marBottom w:val="0"/>
      <w:divBdr>
        <w:top w:val="none" w:sz="0" w:space="0" w:color="auto"/>
        <w:left w:val="none" w:sz="0" w:space="0" w:color="auto"/>
        <w:bottom w:val="none" w:sz="0" w:space="0" w:color="auto"/>
        <w:right w:val="none" w:sz="0" w:space="0" w:color="auto"/>
      </w:divBdr>
      <w:divsChild>
        <w:div w:id="358316894">
          <w:marLeft w:val="547"/>
          <w:marRight w:val="0"/>
          <w:marTop w:val="134"/>
          <w:marBottom w:val="0"/>
          <w:divBdr>
            <w:top w:val="none" w:sz="0" w:space="0" w:color="auto"/>
            <w:left w:val="none" w:sz="0" w:space="0" w:color="auto"/>
            <w:bottom w:val="none" w:sz="0" w:space="0" w:color="auto"/>
            <w:right w:val="none" w:sz="0" w:space="0" w:color="auto"/>
          </w:divBdr>
        </w:div>
        <w:div w:id="358316901">
          <w:marLeft w:val="547"/>
          <w:marRight w:val="0"/>
          <w:marTop w:val="134"/>
          <w:marBottom w:val="0"/>
          <w:divBdr>
            <w:top w:val="none" w:sz="0" w:space="0" w:color="auto"/>
            <w:left w:val="none" w:sz="0" w:space="0" w:color="auto"/>
            <w:bottom w:val="none" w:sz="0" w:space="0" w:color="auto"/>
            <w:right w:val="none" w:sz="0" w:space="0" w:color="auto"/>
          </w:divBdr>
        </w:div>
        <w:div w:id="358316902">
          <w:marLeft w:val="547"/>
          <w:marRight w:val="0"/>
          <w:marTop w:val="134"/>
          <w:marBottom w:val="0"/>
          <w:divBdr>
            <w:top w:val="none" w:sz="0" w:space="0" w:color="auto"/>
            <w:left w:val="none" w:sz="0" w:space="0" w:color="auto"/>
            <w:bottom w:val="none" w:sz="0" w:space="0" w:color="auto"/>
            <w:right w:val="none" w:sz="0" w:space="0" w:color="auto"/>
          </w:divBdr>
        </w:div>
      </w:divsChild>
    </w:div>
    <w:div w:id="358316891">
      <w:marLeft w:val="0"/>
      <w:marRight w:val="0"/>
      <w:marTop w:val="0"/>
      <w:marBottom w:val="0"/>
      <w:divBdr>
        <w:top w:val="none" w:sz="0" w:space="0" w:color="auto"/>
        <w:left w:val="none" w:sz="0" w:space="0" w:color="auto"/>
        <w:bottom w:val="none" w:sz="0" w:space="0" w:color="auto"/>
        <w:right w:val="none" w:sz="0" w:space="0" w:color="auto"/>
      </w:divBdr>
      <w:divsChild>
        <w:div w:id="358316895">
          <w:marLeft w:val="547"/>
          <w:marRight w:val="0"/>
          <w:marTop w:val="154"/>
          <w:marBottom w:val="0"/>
          <w:divBdr>
            <w:top w:val="none" w:sz="0" w:space="0" w:color="auto"/>
            <w:left w:val="none" w:sz="0" w:space="0" w:color="auto"/>
            <w:bottom w:val="none" w:sz="0" w:space="0" w:color="auto"/>
            <w:right w:val="none" w:sz="0" w:space="0" w:color="auto"/>
          </w:divBdr>
        </w:div>
        <w:div w:id="358316897">
          <w:marLeft w:val="547"/>
          <w:marRight w:val="0"/>
          <w:marTop w:val="154"/>
          <w:marBottom w:val="0"/>
          <w:divBdr>
            <w:top w:val="none" w:sz="0" w:space="0" w:color="auto"/>
            <w:left w:val="none" w:sz="0" w:space="0" w:color="auto"/>
            <w:bottom w:val="none" w:sz="0" w:space="0" w:color="auto"/>
            <w:right w:val="none" w:sz="0" w:space="0" w:color="auto"/>
          </w:divBdr>
        </w:div>
        <w:div w:id="358316903">
          <w:marLeft w:val="547"/>
          <w:marRight w:val="0"/>
          <w:marTop w:val="154"/>
          <w:marBottom w:val="0"/>
          <w:divBdr>
            <w:top w:val="none" w:sz="0" w:space="0" w:color="auto"/>
            <w:left w:val="none" w:sz="0" w:space="0" w:color="auto"/>
            <w:bottom w:val="none" w:sz="0" w:space="0" w:color="auto"/>
            <w:right w:val="none" w:sz="0" w:space="0" w:color="auto"/>
          </w:divBdr>
        </w:div>
        <w:div w:id="358316905">
          <w:marLeft w:val="547"/>
          <w:marRight w:val="0"/>
          <w:marTop w:val="154"/>
          <w:marBottom w:val="0"/>
          <w:divBdr>
            <w:top w:val="none" w:sz="0" w:space="0" w:color="auto"/>
            <w:left w:val="none" w:sz="0" w:space="0" w:color="auto"/>
            <w:bottom w:val="none" w:sz="0" w:space="0" w:color="auto"/>
            <w:right w:val="none" w:sz="0" w:space="0" w:color="auto"/>
          </w:divBdr>
        </w:div>
      </w:divsChild>
    </w:div>
    <w:div w:id="358316898">
      <w:marLeft w:val="0"/>
      <w:marRight w:val="0"/>
      <w:marTop w:val="0"/>
      <w:marBottom w:val="0"/>
      <w:divBdr>
        <w:top w:val="none" w:sz="0" w:space="0" w:color="auto"/>
        <w:left w:val="none" w:sz="0" w:space="0" w:color="auto"/>
        <w:bottom w:val="none" w:sz="0" w:space="0" w:color="auto"/>
        <w:right w:val="none" w:sz="0" w:space="0" w:color="auto"/>
      </w:divBdr>
      <w:divsChild>
        <w:div w:id="358316884">
          <w:marLeft w:val="547"/>
          <w:marRight w:val="0"/>
          <w:marTop w:val="154"/>
          <w:marBottom w:val="0"/>
          <w:divBdr>
            <w:top w:val="none" w:sz="0" w:space="0" w:color="auto"/>
            <w:left w:val="none" w:sz="0" w:space="0" w:color="auto"/>
            <w:bottom w:val="none" w:sz="0" w:space="0" w:color="auto"/>
            <w:right w:val="none" w:sz="0" w:space="0" w:color="auto"/>
          </w:divBdr>
        </w:div>
        <w:div w:id="358316889">
          <w:marLeft w:val="547"/>
          <w:marRight w:val="0"/>
          <w:marTop w:val="154"/>
          <w:marBottom w:val="0"/>
          <w:divBdr>
            <w:top w:val="none" w:sz="0" w:space="0" w:color="auto"/>
            <w:left w:val="none" w:sz="0" w:space="0" w:color="auto"/>
            <w:bottom w:val="none" w:sz="0" w:space="0" w:color="auto"/>
            <w:right w:val="none" w:sz="0" w:space="0" w:color="auto"/>
          </w:divBdr>
        </w:div>
        <w:div w:id="358316892">
          <w:marLeft w:val="547"/>
          <w:marRight w:val="0"/>
          <w:marTop w:val="154"/>
          <w:marBottom w:val="0"/>
          <w:divBdr>
            <w:top w:val="none" w:sz="0" w:space="0" w:color="auto"/>
            <w:left w:val="none" w:sz="0" w:space="0" w:color="auto"/>
            <w:bottom w:val="none" w:sz="0" w:space="0" w:color="auto"/>
            <w:right w:val="none" w:sz="0" w:space="0" w:color="auto"/>
          </w:divBdr>
        </w:div>
        <w:div w:id="358316900">
          <w:marLeft w:val="547"/>
          <w:marRight w:val="0"/>
          <w:marTop w:val="154"/>
          <w:marBottom w:val="0"/>
          <w:divBdr>
            <w:top w:val="none" w:sz="0" w:space="0" w:color="auto"/>
            <w:left w:val="none" w:sz="0" w:space="0" w:color="auto"/>
            <w:bottom w:val="none" w:sz="0" w:space="0" w:color="auto"/>
            <w:right w:val="none" w:sz="0" w:space="0" w:color="auto"/>
          </w:divBdr>
        </w:div>
        <w:div w:id="358316904">
          <w:marLeft w:val="547"/>
          <w:marRight w:val="0"/>
          <w:marTop w:val="154"/>
          <w:marBottom w:val="0"/>
          <w:divBdr>
            <w:top w:val="none" w:sz="0" w:space="0" w:color="auto"/>
            <w:left w:val="none" w:sz="0" w:space="0" w:color="auto"/>
            <w:bottom w:val="none" w:sz="0" w:space="0" w:color="auto"/>
            <w:right w:val="none" w:sz="0" w:space="0" w:color="auto"/>
          </w:divBdr>
        </w:div>
      </w:divsChild>
    </w:div>
    <w:div w:id="358316899">
      <w:marLeft w:val="0"/>
      <w:marRight w:val="0"/>
      <w:marTop w:val="0"/>
      <w:marBottom w:val="0"/>
      <w:divBdr>
        <w:top w:val="none" w:sz="0" w:space="0" w:color="auto"/>
        <w:left w:val="none" w:sz="0" w:space="0" w:color="auto"/>
        <w:bottom w:val="none" w:sz="0" w:space="0" w:color="auto"/>
        <w:right w:val="none" w:sz="0" w:space="0" w:color="auto"/>
      </w:divBdr>
      <w:divsChild>
        <w:div w:id="358316890">
          <w:marLeft w:val="547"/>
          <w:marRight w:val="0"/>
          <w:marTop w:val="154"/>
          <w:marBottom w:val="0"/>
          <w:divBdr>
            <w:top w:val="none" w:sz="0" w:space="0" w:color="auto"/>
            <w:left w:val="none" w:sz="0" w:space="0" w:color="auto"/>
            <w:bottom w:val="none" w:sz="0" w:space="0" w:color="auto"/>
            <w:right w:val="none" w:sz="0" w:space="0" w:color="auto"/>
          </w:divBdr>
        </w:div>
        <w:div w:id="358316896">
          <w:marLeft w:val="547"/>
          <w:marRight w:val="0"/>
          <w:marTop w:val="154"/>
          <w:marBottom w:val="0"/>
          <w:divBdr>
            <w:top w:val="none" w:sz="0" w:space="0" w:color="auto"/>
            <w:left w:val="none" w:sz="0" w:space="0" w:color="auto"/>
            <w:bottom w:val="none" w:sz="0" w:space="0" w:color="auto"/>
            <w:right w:val="none" w:sz="0" w:space="0" w:color="auto"/>
          </w:divBdr>
        </w:div>
        <w:div w:id="35831690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xmarket.org/mix-market-development-roadmap/inline-glossary)/http://www.mixmarket.org/en/glossar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crocreditsummit.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D6FBC-D457-42D9-978D-E7EE2370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D49C8243.dotm</Template>
  <TotalTime>1</TotalTime>
  <Pages>23</Pages>
  <Words>7701</Words>
  <Characters>40816</Characters>
  <Application>Microsoft Office Word</Application>
  <DocSecurity>0</DocSecurity>
  <Lines>340</Lines>
  <Paragraphs>96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Governance and Microfinance Institutions: A Survey of Recent Evidence</vt:lpstr>
      <vt:lpstr>Governance and Microfinance Institutions: A Survey of Recent Evidence</vt:lpstr>
    </vt:vector>
  </TitlesOfParts>
  <Company>Universitetet i Agder</Company>
  <LinksUpToDate>false</LinksUpToDate>
  <CharactersWithSpaces>48421</CharactersWithSpaces>
  <SharedDoc>false</SharedDoc>
  <HLinks>
    <vt:vector size="12" baseType="variant">
      <vt:variant>
        <vt:i4>1769481</vt:i4>
      </vt:variant>
      <vt:variant>
        <vt:i4>6</vt:i4>
      </vt:variant>
      <vt:variant>
        <vt:i4>0</vt:i4>
      </vt:variant>
      <vt:variant>
        <vt:i4>5</vt:i4>
      </vt:variant>
      <vt:variant>
        <vt:lpwstr>http://www.mixmarket.org/mix-market-development-roadmap/inline-glossary)/http://www.mixmarket.org/en/glossary</vt:lpwstr>
      </vt:variant>
      <vt:variant>
        <vt:lpwstr/>
      </vt:variant>
      <vt:variant>
        <vt:i4>4980751</vt:i4>
      </vt:variant>
      <vt:variant>
        <vt:i4>3</vt:i4>
      </vt:variant>
      <vt:variant>
        <vt:i4>0</vt:i4>
      </vt:variant>
      <vt:variant>
        <vt:i4>5</vt:i4>
      </vt:variant>
      <vt:variant>
        <vt:lpwstr>http://www.microcreditsummit.org/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and Microfinance Institutions: A Survey of Recent Evidence</dc:title>
  <dc:creator>Eigenaar</dc:creator>
  <cp:lastModifiedBy>Roy Mersland</cp:lastModifiedBy>
  <cp:revision>2</cp:revision>
  <cp:lastPrinted>2011-01-27T16:02:00Z</cp:lastPrinted>
  <dcterms:created xsi:type="dcterms:W3CDTF">2016-03-23T18:33:00Z</dcterms:created>
  <dcterms:modified xsi:type="dcterms:W3CDTF">2016-03-23T18:33:00Z</dcterms:modified>
</cp:coreProperties>
</file>