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A073F" w14:textId="77777777" w:rsidR="007762B4" w:rsidRPr="00D51EF4" w:rsidRDefault="007762B4" w:rsidP="007762B4">
      <w:pPr>
        <w:spacing w:line="480" w:lineRule="auto"/>
        <w:rPr>
          <w:lang w:val="en-GB"/>
        </w:rPr>
      </w:pPr>
    </w:p>
    <w:p w14:paraId="5E44BECC" w14:textId="77777777" w:rsidR="001623A9" w:rsidRPr="00D51EF4" w:rsidRDefault="001623A9" w:rsidP="007762B4">
      <w:pPr>
        <w:spacing w:line="480" w:lineRule="auto"/>
        <w:rPr>
          <w:lang w:val="en-GB"/>
        </w:rPr>
      </w:pPr>
    </w:p>
    <w:p w14:paraId="0E5879D2" w14:textId="77777777" w:rsidR="00731B79" w:rsidRPr="00D51EF4" w:rsidRDefault="00731B79" w:rsidP="007762B4">
      <w:pPr>
        <w:spacing w:line="480" w:lineRule="auto"/>
        <w:rPr>
          <w:lang w:val="en-GB"/>
        </w:rPr>
      </w:pPr>
    </w:p>
    <w:p w14:paraId="73461B5E" w14:textId="515B2048" w:rsidR="007762B4" w:rsidRDefault="00437053" w:rsidP="007762B4">
      <w:pPr>
        <w:spacing w:line="480" w:lineRule="auto"/>
        <w:jc w:val="center"/>
        <w:rPr>
          <w:b/>
          <w:sz w:val="28"/>
          <w:szCs w:val="28"/>
          <w:lang w:val="en-GB"/>
        </w:rPr>
      </w:pPr>
      <w:r>
        <w:rPr>
          <w:b/>
          <w:sz w:val="28"/>
          <w:szCs w:val="28"/>
          <w:lang w:val="en-GB"/>
        </w:rPr>
        <w:t xml:space="preserve">Earnings Quality in </w:t>
      </w:r>
      <w:proofErr w:type="spellStart"/>
      <w:r>
        <w:rPr>
          <w:b/>
          <w:sz w:val="28"/>
          <w:szCs w:val="28"/>
          <w:lang w:val="en-GB"/>
        </w:rPr>
        <w:t>Nonp</w:t>
      </w:r>
      <w:r w:rsidR="007762B4" w:rsidRPr="00D51EF4">
        <w:rPr>
          <w:b/>
          <w:sz w:val="28"/>
          <w:szCs w:val="28"/>
          <w:lang w:val="en-GB"/>
        </w:rPr>
        <w:t>rofit</w:t>
      </w:r>
      <w:proofErr w:type="spellEnd"/>
      <w:r w:rsidR="007762B4" w:rsidRPr="00D51EF4">
        <w:rPr>
          <w:b/>
          <w:sz w:val="28"/>
          <w:szCs w:val="28"/>
          <w:lang w:val="en-GB"/>
        </w:rPr>
        <w:t xml:space="preserve"> versus For-Profit Organi</w:t>
      </w:r>
      <w:r w:rsidR="00D411BD" w:rsidRPr="00D51EF4">
        <w:rPr>
          <w:b/>
          <w:sz w:val="28"/>
          <w:szCs w:val="28"/>
          <w:lang w:val="en-GB"/>
        </w:rPr>
        <w:t>s</w:t>
      </w:r>
      <w:r w:rsidR="007762B4" w:rsidRPr="00D51EF4">
        <w:rPr>
          <w:b/>
          <w:sz w:val="28"/>
          <w:szCs w:val="28"/>
          <w:lang w:val="en-GB"/>
        </w:rPr>
        <w:t>ations: Evidence from the Microfinance Industry</w:t>
      </w:r>
    </w:p>
    <w:p w14:paraId="7B01827C" w14:textId="77777777" w:rsidR="005E5F57" w:rsidRDefault="005E5F57" w:rsidP="007762B4">
      <w:pPr>
        <w:spacing w:line="480" w:lineRule="auto"/>
        <w:jc w:val="center"/>
        <w:rPr>
          <w:b/>
          <w:sz w:val="28"/>
          <w:szCs w:val="28"/>
          <w:lang w:val="en-GB"/>
        </w:rPr>
      </w:pPr>
    </w:p>
    <w:p w14:paraId="3E9927B3" w14:textId="7EF43E28" w:rsidR="005E5F57" w:rsidRPr="005E5F57" w:rsidRDefault="005E5F57" w:rsidP="007762B4">
      <w:pPr>
        <w:spacing w:line="480" w:lineRule="auto"/>
        <w:jc w:val="center"/>
        <w:rPr>
          <w:lang w:val="en-GB"/>
        </w:rPr>
      </w:pPr>
      <w:r w:rsidRPr="005E5F57">
        <w:rPr>
          <w:lang w:val="en-GB"/>
        </w:rPr>
        <w:t>Leif Atle Beisland &amp; Roy Mersland</w:t>
      </w:r>
    </w:p>
    <w:p w14:paraId="2D91ACAA" w14:textId="50702A3C" w:rsidR="005E5F57" w:rsidRPr="005E5F57" w:rsidRDefault="005E5F57" w:rsidP="007762B4">
      <w:pPr>
        <w:spacing w:line="480" w:lineRule="auto"/>
        <w:jc w:val="center"/>
        <w:rPr>
          <w:lang w:val="en-GB"/>
        </w:rPr>
      </w:pPr>
      <w:r w:rsidRPr="005E5F57">
        <w:rPr>
          <w:lang w:val="en-GB"/>
        </w:rPr>
        <w:t>University of Agder, Norway</w:t>
      </w:r>
    </w:p>
    <w:p w14:paraId="6394DA2F" w14:textId="77777777" w:rsidR="007762B4" w:rsidRDefault="007762B4" w:rsidP="007762B4">
      <w:pPr>
        <w:spacing w:line="480" w:lineRule="auto"/>
        <w:jc w:val="center"/>
        <w:rPr>
          <w:lang w:val="en-GB"/>
        </w:rPr>
      </w:pPr>
    </w:p>
    <w:p w14:paraId="2F6DFCDF" w14:textId="345C3CF2" w:rsidR="005E5F57" w:rsidRPr="00D51EF4" w:rsidRDefault="005E5F57" w:rsidP="007762B4">
      <w:pPr>
        <w:spacing w:line="480" w:lineRule="auto"/>
        <w:jc w:val="center"/>
        <w:rPr>
          <w:lang w:val="en-GB"/>
        </w:rPr>
      </w:pPr>
      <w:r>
        <w:rPr>
          <w:lang w:val="en-GB"/>
        </w:rPr>
        <w:t xml:space="preserve">This paper </w:t>
      </w:r>
      <w:proofErr w:type="gramStart"/>
      <w:r>
        <w:rPr>
          <w:lang w:val="en-GB"/>
        </w:rPr>
        <w:t>is published</w:t>
      </w:r>
      <w:proofErr w:type="gramEnd"/>
      <w:r>
        <w:rPr>
          <w:lang w:val="en-GB"/>
        </w:rPr>
        <w:t xml:space="preserve"> as:</w:t>
      </w:r>
    </w:p>
    <w:p w14:paraId="5CF7376E" w14:textId="6711548F" w:rsidR="005E5F57" w:rsidRDefault="005E5F57" w:rsidP="007762B4">
      <w:pPr>
        <w:spacing w:line="480" w:lineRule="auto"/>
        <w:jc w:val="center"/>
        <w:rPr>
          <w:lang w:val="en-GB"/>
        </w:rPr>
      </w:pPr>
      <w:r w:rsidRPr="005E5F57">
        <w:rPr>
          <w:lang w:val="en-GB"/>
        </w:rPr>
        <w:t>Beisland, L. A. &amp; Mersland, R., (</w:t>
      </w:r>
      <w:r>
        <w:rPr>
          <w:lang w:val="en-GB"/>
        </w:rPr>
        <w:t>2014</w:t>
      </w:r>
      <w:r w:rsidRPr="005E5F57">
        <w:rPr>
          <w:lang w:val="en-GB"/>
        </w:rPr>
        <w:t xml:space="preserve">), “Earnings Quality in Non-Profit versus For-Profit Organizations: Evidence from the Microfinance Industry”. </w:t>
      </w:r>
    </w:p>
    <w:p w14:paraId="608332C9" w14:textId="743917AE" w:rsidR="007762B4" w:rsidRPr="00D51EF4" w:rsidRDefault="005E5F57" w:rsidP="007762B4">
      <w:pPr>
        <w:spacing w:line="480" w:lineRule="auto"/>
        <w:jc w:val="center"/>
        <w:rPr>
          <w:lang w:val="en-GB"/>
        </w:rPr>
      </w:pPr>
      <w:proofErr w:type="spellStart"/>
      <w:proofErr w:type="gramStart"/>
      <w:r w:rsidRPr="005E5F57">
        <w:rPr>
          <w:lang w:val="en-GB"/>
        </w:rPr>
        <w:t>Nonprofit</w:t>
      </w:r>
      <w:proofErr w:type="spellEnd"/>
      <w:r w:rsidRPr="005E5F57">
        <w:rPr>
          <w:lang w:val="en-GB"/>
        </w:rPr>
        <w:t xml:space="preserve"> &amp; Voluntary Sector Quarterly</w:t>
      </w:r>
      <w:r w:rsidR="004E1E17">
        <w:rPr>
          <w:lang w:val="en-GB"/>
        </w:rPr>
        <w:t>.</w:t>
      </w:r>
      <w:proofErr w:type="gramEnd"/>
      <w:r w:rsidR="004E1E17">
        <w:rPr>
          <w:lang w:val="en-GB"/>
        </w:rPr>
        <w:t xml:space="preserve"> </w:t>
      </w:r>
      <w:r w:rsidR="004E1E17" w:rsidRPr="004E1E17">
        <w:rPr>
          <w:lang w:val="en-GB"/>
        </w:rPr>
        <w:t>Vol. 43(4), pp. 652-671.</w:t>
      </w:r>
      <w:bookmarkStart w:id="0" w:name="_GoBack"/>
      <w:bookmarkEnd w:id="0"/>
    </w:p>
    <w:p w14:paraId="24403093" w14:textId="77777777" w:rsidR="0059491A" w:rsidRPr="00D51EF4" w:rsidRDefault="0059491A" w:rsidP="007762B4">
      <w:pPr>
        <w:spacing w:line="480" w:lineRule="auto"/>
        <w:jc w:val="center"/>
        <w:rPr>
          <w:lang w:val="en-GB"/>
        </w:rPr>
      </w:pPr>
    </w:p>
    <w:p w14:paraId="2D313CD6" w14:textId="77777777" w:rsidR="007762B4" w:rsidRPr="00D51EF4" w:rsidRDefault="007762B4" w:rsidP="005E5F57">
      <w:pPr>
        <w:spacing w:line="480" w:lineRule="auto"/>
        <w:rPr>
          <w:lang w:val="en-GB"/>
        </w:rPr>
      </w:pPr>
    </w:p>
    <w:p w14:paraId="54F79E8E" w14:textId="77777777" w:rsidR="007762B4" w:rsidRPr="00D51EF4" w:rsidRDefault="007762B4" w:rsidP="007762B4">
      <w:pPr>
        <w:spacing w:line="480" w:lineRule="auto"/>
        <w:jc w:val="center"/>
        <w:rPr>
          <w:lang w:val="en-GB"/>
        </w:rPr>
      </w:pPr>
    </w:p>
    <w:p w14:paraId="3A8A8BFF" w14:textId="77777777" w:rsidR="007762B4" w:rsidRPr="00D51EF4" w:rsidRDefault="007762B4" w:rsidP="007762B4">
      <w:pPr>
        <w:spacing w:line="480" w:lineRule="auto"/>
        <w:jc w:val="center"/>
        <w:rPr>
          <w:b/>
          <w:lang w:val="en-GB"/>
        </w:rPr>
      </w:pPr>
      <w:r w:rsidRPr="00D51EF4">
        <w:rPr>
          <w:b/>
          <w:lang w:val="en-GB"/>
        </w:rPr>
        <w:t>Abstract</w:t>
      </w:r>
    </w:p>
    <w:p w14:paraId="70298A61" w14:textId="0817EB48" w:rsidR="00CB3AF1" w:rsidRPr="00D51EF4" w:rsidRDefault="00CB3AF1" w:rsidP="00CB3AF1">
      <w:pPr>
        <w:jc w:val="both"/>
        <w:rPr>
          <w:lang w:val="en-GB"/>
        </w:rPr>
      </w:pPr>
      <w:r w:rsidRPr="00D51EF4">
        <w:rPr>
          <w:lang w:val="en-GB"/>
        </w:rPr>
        <w:t xml:space="preserve">This study uses </w:t>
      </w:r>
      <w:r w:rsidR="00E564DA" w:rsidRPr="00D51EF4">
        <w:rPr>
          <w:lang w:val="en-GB"/>
        </w:rPr>
        <w:t xml:space="preserve">data from </w:t>
      </w:r>
      <w:r w:rsidRPr="00D51EF4">
        <w:rPr>
          <w:lang w:val="en-GB"/>
        </w:rPr>
        <w:t xml:space="preserve">the microfinance industry to </w:t>
      </w:r>
      <w:r w:rsidR="005F23BF" w:rsidRPr="00D51EF4">
        <w:rPr>
          <w:lang w:val="en-GB"/>
        </w:rPr>
        <w:t>analy</w:t>
      </w:r>
      <w:r w:rsidR="00D411BD" w:rsidRPr="00D51EF4">
        <w:rPr>
          <w:lang w:val="en-GB"/>
        </w:rPr>
        <w:t>s</w:t>
      </w:r>
      <w:r w:rsidR="005F23BF" w:rsidRPr="00D51EF4">
        <w:rPr>
          <w:lang w:val="en-GB"/>
        </w:rPr>
        <w:t>e</w:t>
      </w:r>
      <w:r w:rsidRPr="00D51EF4">
        <w:rPr>
          <w:lang w:val="en-GB"/>
        </w:rPr>
        <w:t xml:space="preserve"> differences in earnings qua</w:t>
      </w:r>
      <w:r w:rsidR="00437053">
        <w:rPr>
          <w:lang w:val="en-GB"/>
        </w:rPr>
        <w:t xml:space="preserve">lity between for-profit and </w:t>
      </w:r>
      <w:proofErr w:type="spellStart"/>
      <w:r w:rsidR="00437053">
        <w:rPr>
          <w:lang w:val="en-GB"/>
        </w:rPr>
        <w:t>non</w:t>
      </w:r>
      <w:r w:rsidRPr="00D51EF4">
        <w:rPr>
          <w:lang w:val="en-GB"/>
        </w:rPr>
        <w:t>profit</w:t>
      </w:r>
      <w:proofErr w:type="spellEnd"/>
      <w:r w:rsidRPr="00D51EF4">
        <w:rPr>
          <w:lang w:val="en-GB"/>
        </w:rPr>
        <w:t xml:space="preserve"> organi</w:t>
      </w:r>
      <w:r w:rsidR="00D411BD" w:rsidRPr="00D51EF4">
        <w:rPr>
          <w:lang w:val="en-GB"/>
        </w:rPr>
        <w:t>s</w:t>
      </w:r>
      <w:r w:rsidRPr="00D51EF4">
        <w:rPr>
          <w:lang w:val="en-GB"/>
        </w:rPr>
        <w:t xml:space="preserve">ations. </w:t>
      </w:r>
      <w:r w:rsidR="009B5A19" w:rsidRPr="00D51EF4">
        <w:rPr>
          <w:lang w:val="en-GB"/>
        </w:rPr>
        <w:t>The two sets of organi</w:t>
      </w:r>
      <w:r w:rsidR="00D411BD" w:rsidRPr="00D51EF4">
        <w:rPr>
          <w:lang w:val="en-GB"/>
        </w:rPr>
        <w:t>s</w:t>
      </w:r>
      <w:r w:rsidR="009B5A19" w:rsidRPr="00D51EF4">
        <w:rPr>
          <w:lang w:val="en-GB"/>
        </w:rPr>
        <w:t xml:space="preserve">ations differ with respect to both governance mechanisms and managerial incentives, and little research </w:t>
      </w:r>
      <w:proofErr w:type="gramStart"/>
      <w:r w:rsidR="009B5A19" w:rsidRPr="00D51EF4">
        <w:rPr>
          <w:lang w:val="en-GB"/>
        </w:rPr>
        <w:t>has been conducted</w:t>
      </w:r>
      <w:proofErr w:type="gramEnd"/>
      <w:r w:rsidR="009B5A19" w:rsidRPr="00D51EF4">
        <w:rPr>
          <w:lang w:val="en-GB"/>
        </w:rPr>
        <w:t xml:space="preserve"> to investigate how such differences affect the quality of financial reporting. </w:t>
      </w:r>
      <w:r w:rsidR="0069134C" w:rsidRPr="00D51EF4">
        <w:rPr>
          <w:lang w:val="en-GB"/>
        </w:rPr>
        <w:t xml:space="preserve">Overall, we find little evidence of differences in earnings quality between our two samples </w:t>
      </w:r>
      <w:proofErr w:type="gramStart"/>
      <w:r w:rsidR="0069134C" w:rsidRPr="00D51EF4">
        <w:rPr>
          <w:lang w:val="en-GB"/>
        </w:rPr>
        <w:t>in the aggregate</w:t>
      </w:r>
      <w:proofErr w:type="gramEnd"/>
      <w:r w:rsidR="0069134C" w:rsidRPr="00D51EF4">
        <w:rPr>
          <w:lang w:val="en-GB"/>
        </w:rPr>
        <w:t xml:space="preserve">. We </w:t>
      </w:r>
      <w:proofErr w:type="gramStart"/>
      <w:r w:rsidR="0069134C" w:rsidRPr="00D51EF4">
        <w:rPr>
          <w:lang w:val="en-GB"/>
        </w:rPr>
        <w:t xml:space="preserve">do, however, </w:t>
      </w:r>
      <w:r w:rsidR="00925801" w:rsidRPr="00D51EF4">
        <w:rPr>
          <w:lang w:val="en-GB"/>
        </w:rPr>
        <w:t>observe</w:t>
      </w:r>
      <w:proofErr w:type="gramEnd"/>
      <w:r w:rsidR="00925801" w:rsidRPr="00D51EF4">
        <w:rPr>
          <w:lang w:val="en-GB"/>
        </w:rPr>
        <w:t xml:space="preserve"> </w:t>
      </w:r>
      <w:r w:rsidR="0069134C" w:rsidRPr="00D51EF4">
        <w:rPr>
          <w:lang w:val="en-GB"/>
        </w:rPr>
        <w:t xml:space="preserve">significant differences </w:t>
      </w:r>
      <w:r w:rsidR="00323094" w:rsidRPr="00D51EF4">
        <w:rPr>
          <w:lang w:val="en-GB"/>
        </w:rPr>
        <w:t xml:space="preserve">among </w:t>
      </w:r>
      <w:r w:rsidR="000F7962">
        <w:rPr>
          <w:lang w:val="en-GB"/>
        </w:rPr>
        <w:t xml:space="preserve">the types of </w:t>
      </w:r>
      <w:proofErr w:type="spellStart"/>
      <w:r w:rsidR="000F7962">
        <w:rPr>
          <w:lang w:val="en-GB"/>
        </w:rPr>
        <w:t>non</w:t>
      </w:r>
      <w:r w:rsidR="0069134C" w:rsidRPr="00D51EF4">
        <w:rPr>
          <w:lang w:val="en-GB"/>
        </w:rPr>
        <w:t>profit</w:t>
      </w:r>
      <w:proofErr w:type="spellEnd"/>
      <w:r w:rsidR="0069134C" w:rsidRPr="00D51EF4">
        <w:rPr>
          <w:lang w:val="en-GB"/>
        </w:rPr>
        <w:t xml:space="preserve"> organisations; </w:t>
      </w:r>
      <w:r w:rsidR="00925801" w:rsidRPr="00D51EF4">
        <w:rPr>
          <w:lang w:val="en-GB"/>
        </w:rPr>
        <w:t>this</w:t>
      </w:r>
      <w:r w:rsidR="0069134C" w:rsidRPr="00D51EF4">
        <w:rPr>
          <w:lang w:val="en-GB"/>
        </w:rPr>
        <w:t xml:space="preserve"> finding </w:t>
      </w:r>
      <w:r w:rsidR="00925801" w:rsidRPr="00D51EF4">
        <w:rPr>
          <w:lang w:val="en-GB"/>
        </w:rPr>
        <w:t xml:space="preserve">suggests </w:t>
      </w:r>
      <w:r w:rsidR="0069134C" w:rsidRPr="00D51EF4">
        <w:rPr>
          <w:lang w:val="en-GB"/>
        </w:rPr>
        <w:t>that the</w:t>
      </w:r>
      <w:r w:rsidR="00925801" w:rsidRPr="00D51EF4">
        <w:rPr>
          <w:lang w:val="en-GB"/>
        </w:rPr>
        <w:t xml:space="preserve"> concept of</w:t>
      </w:r>
      <w:r w:rsidR="0069134C" w:rsidRPr="00D51EF4">
        <w:rPr>
          <w:lang w:val="en-GB"/>
        </w:rPr>
        <w:t xml:space="preserve"> a ‘</w:t>
      </w:r>
      <w:proofErr w:type="spellStart"/>
      <w:r w:rsidR="0069134C" w:rsidRPr="00D51EF4">
        <w:rPr>
          <w:lang w:val="en-GB"/>
        </w:rPr>
        <w:t>nonprofit</w:t>
      </w:r>
      <w:proofErr w:type="spellEnd"/>
      <w:r w:rsidR="0069134C" w:rsidRPr="00D51EF4">
        <w:rPr>
          <w:lang w:val="en-GB"/>
        </w:rPr>
        <w:t xml:space="preserve"> level of earnings quality’</w:t>
      </w:r>
      <w:r w:rsidR="00925801" w:rsidRPr="00D51EF4">
        <w:rPr>
          <w:lang w:val="en-GB"/>
        </w:rPr>
        <w:t xml:space="preserve"> is ill defined</w:t>
      </w:r>
      <w:r w:rsidR="0069134C" w:rsidRPr="00D51EF4">
        <w:rPr>
          <w:lang w:val="en-GB"/>
        </w:rPr>
        <w:t xml:space="preserve">. </w:t>
      </w:r>
    </w:p>
    <w:p w14:paraId="04AE95CA" w14:textId="77777777" w:rsidR="007762B4" w:rsidRPr="00D51EF4" w:rsidRDefault="007762B4" w:rsidP="0093659A">
      <w:pPr>
        <w:spacing w:line="480" w:lineRule="auto"/>
        <w:jc w:val="both"/>
        <w:rPr>
          <w:b/>
          <w:lang w:val="en-GB"/>
        </w:rPr>
      </w:pPr>
      <w:r w:rsidRPr="00D51EF4">
        <w:rPr>
          <w:b/>
          <w:lang w:val="en-GB"/>
        </w:rPr>
        <w:br w:type="page"/>
      </w:r>
      <w:r w:rsidRPr="00D51EF4">
        <w:rPr>
          <w:b/>
          <w:lang w:val="en-GB"/>
        </w:rPr>
        <w:lastRenderedPageBreak/>
        <w:t>1. Introduction</w:t>
      </w:r>
    </w:p>
    <w:p w14:paraId="38B52540" w14:textId="137C1F44" w:rsidR="00E564DA" w:rsidRPr="00D51EF4" w:rsidRDefault="003C2C71" w:rsidP="00F65B35">
      <w:pPr>
        <w:spacing w:line="480" w:lineRule="auto"/>
        <w:jc w:val="both"/>
        <w:rPr>
          <w:lang w:val="en-GB"/>
        </w:rPr>
      </w:pPr>
      <w:r w:rsidRPr="00D51EF4">
        <w:rPr>
          <w:lang w:val="en-GB"/>
        </w:rPr>
        <w:t xml:space="preserve">The accounting literature contends that reported earnings numbers are of high quality if they are representative of </w:t>
      </w:r>
      <w:r w:rsidR="00D411BD" w:rsidRPr="00D51EF4">
        <w:rPr>
          <w:lang w:val="en-GB"/>
        </w:rPr>
        <w:t xml:space="preserve">a </w:t>
      </w:r>
      <w:r w:rsidRPr="00D51EF4">
        <w:rPr>
          <w:lang w:val="en-GB"/>
        </w:rPr>
        <w:t>company</w:t>
      </w:r>
      <w:r w:rsidR="00FB6515" w:rsidRPr="00D51EF4">
        <w:rPr>
          <w:lang w:val="en-GB"/>
        </w:rPr>
        <w:t>’s</w:t>
      </w:r>
      <w:r w:rsidRPr="00D51EF4">
        <w:rPr>
          <w:lang w:val="en-GB"/>
        </w:rPr>
        <w:t xml:space="preserve"> or </w:t>
      </w:r>
      <w:proofErr w:type="gramStart"/>
      <w:r w:rsidRPr="00D51EF4">
        <w:rPr>
          <w:lang w:val="en-GB"/>
        </w:rPr>
        <w:t>institution’s</w:t>
      </w:r>
      <w:proofErr w:type="gramEnd"/>
      <w:r w:rsidRPr="00D51EF4">
        <w:rPr>
          <w:lang w:val="en-GB"/>
        </w:rPr>
        <w:t xml:space="preserve"> long</w:t>
      </w:r>
      <w:r w:rsidR="00D411BD" w:rsidRPr="00D51EF4">
        <w:rPr>
          <w:lang w:val="en-GB"/>
        </w:rPr>
        <w:t>-</w:t>
      </w:r>
      <w:r w:rsidRPr="00D51EF4">
        <w:rPr>
          <w:lang w:val="en-GB"/>
        </w:rPr>
        <w:t xml:space="preserve">term earning ability (Melumad and Nissim 2008). Thus, </w:t>
      </w:r>
      <w:r w:rsidR="00694F40" w:rsidRPr="00D51EF4">
        <w:rPr>
          <w:lang w:val="en-GB"/>
        </w:rPr>
        <w:t>‘</w:t>
      </w:r>
      <w:r w:rsidRPr="00D51EF4">
        <w:rPr>
          <w:lang w:val="en-GB"/>
        </w:rPr>
        <w:t>earnings quality</w:t>
      </w:r>
      <w:r w:rsidR="00694F40" w:rsidRPr="00D51EF4">
        <w:rPr>
          <w:lang w:val="en-GB"/>
        </w:rPr>
        <w:t>’</w:t>
      </w:r>
      <w:r w:rsidRPr="00D51EF4">
        <w:rPr>
          <w:lang w:val="en-GB"/>
        </w:rPr>
        <w:t xml:space="preserve"> is </w:t>
      </w:r>
      <w:r w:rsidR="00694F40" w:rsidRPr="00D51EF4">
        <w:rPr>
          <w:lang w:val="en-GB"/>
        </w:rPr>
        <w:t xml:space="preserve">a measure </w:t>
      </w:r>
      <w:r w:rsidR="00A95CF0">
        <w:rPr>
          <w:lang w:val="en-GB"/>
        </w:rPr>
        <w:t xml:space="preserve">of </w:t>
      </w:r>
      <w:r w:rsidR="00925801" w:rsidRPr="00D51EF4">
        <w:rPr>
          <w:lang w:val="en-GB"/>
        </w:rPr>
        <w:t>the</w:t>
      </w:r>
      <w:r w:rsidRPr="00D51EF4">
        <w:rPr>
          <w:lang w:val="en-GB"/>
        </w:rPr>
        <w:t xml:space="preserve"> trustworthiness, usefulness and relevance</w:t>
      </w:r>
      <w:r w:rsidR="00925801" w:rsidRPr="00D51EF4">
        <w:rPr>
          <w:lang w:val="en-GB"/>
        </w:rPr>
        <w:t xml:space="preserve"> of financial reporting</w:t>
      </w:r>
      <w:r w:rsidRPr="00D51EF4">
        <w:rPr>
          <w:lang w:val="en-GB"/>
        </w:rPr>
        <w:t xml:space="preserve">. Earnings quality </w:t>
      </w:r>
      <w:proofErr w:type="gramStart"/>
      <w:r w:rsidRPr="00D51EF4">
        <w:rPr>
          <w:lang w:val="en-GB"/>
        </w:rPr>
        <w:t>is typically investigated</w:t>
      </w:r>
      <w:proofErr w:type="gramEnd"/>
      <w:r w:rsidRPr="00D51EF4">
        <w:rPr>
          <w:lang w:val="en-GB"/>
        </w:rPr>
        <w:t xml:space="preserve"> for exchange</w:t>
      </w:r>
      <w:r w:rsidR="00D411BD" w:rsidRPr="00D51EF4">
        <w:rPr>
          <w:lang w:val="en-GB"/>
        </w:rPr>
        <w:t>-</w:t>
      </w:r>
      <w:r w:rsidRPr="00D51EF4">
        <w:rPr>
          <w:lang w:val="en-GB"/>
        </w:rPr>
        <w:t>listed corporations</w:t>
      </w:r>
      <w:r w:rsidR="001B20C3" w:rsidRPr="00D51EF4">
        <w:rPr>
          <w:lang w:val="en-GB"/>
        </w:rPr>
        <w:t xml:space="preserve"> -</w:t>
      </w:r>
      <w:r w:rsidR="00D411BD" w:rsidRPr="00D51EF4">
        <w:rPr>
          <w:lang w:val="en-GB"/>
        </w:rPr>
        <w:t xml:space="preserve"> </w:t>
      </w:r>
      <w:proofErr w:type="spellStart"/>
      <w:r w:rsidR="00D411BD" w:rsidRPr="00D51EF4">
        <w:rPr>
          <w:lang w:val="en-GB"/>
        </w:rPr>
        <w:t>n</w:t>
      </w:r>
      <w:r w:rsidRPr="00D51EF4">
        <w:rPr>
          <w:lang w:val="en-GB"/>
        </w:rPr>
        <w:t>onprofit</w:t>
      </w:r>
      <w:proofErr w:type="spellEnd"/>
      <w:r w:rsidRPr="00D51EF4">
        <w:rPr>
          <w:lang w:val="en-GB"/>
        </w:rPr>
        <w:t xml:space="preserve"> organi</w:t>
      </w:r>
      <w:r w:rsidR="00D411BD" w:rsidRPr="00D51EF4">
        <w:rPr>
          <w:lang w:val="en-GB"/>
        </w:rPr>
        <w:t>s</w:t>
      </w:r>
      <w:r w:rsidRPr="00D51EF4">
        <w:rPr>
          <w:lang w:val="en-GB"/>
        </w:rPr>
        <w:t xml:space="preserve">ations are generally not studied. Thus, </w:t>
      </w:r>
      <w:r w:rsidR="000041C8" w:rsidRPr="00D51EF4">
        <w:rPr>
          <w:lang w:val="en-GB"/>
        </w:rPr>
        <w:t xml:space="preserve">prior research has been </w:t>
      </w:r>
      <w:r w:rsidR="00D411BD" w:rsidRPr="00D51EF4">
        <w:rPr>
          <w:lang w:val="en-GB"/>
        </w:rPr>
        <w:t>un</w:t>
      </w:r>
      <w:r w:rsidR="000041C8" w:rsidRPr="00D51EF4">
        <w:rPr>
          <w:lang w:val="en-GB"/>
        </w:rPr>
        <w:t xml:space="preserve">able to answer </w:t>
      </w:r>
      <w:r w:rsidR="00D411BD" w:rsidRPr="00D51EF4">
        <w:rPr>
          <w:lang w:val="en-GB"/>
        </w:rPr>
        <w:t xml:space="preserve">an </w:t>
      </w:r>
      <w:r w:rsidR="000041C8" w:rsidRPr="00D51EF4">
        <w:rPr>
          <w:lang w:val="en-GB"/>
        </w:rPr>
        <w:t>important question</w:t>
      </w:r>
      <w:r w:rsidRPr="00D51EF4">
        <w:rPr>
          <w:lang w:val="en-GB"/>
        </w:rPr>
        <w:t xml:space="preserve">: </w:t>
      </w:r>
      <w:r w:rsidR="00731B79" w:rsidRPr="00D51EF4">
        <w:rPr>
          <w:lang w:val="en-GB"/>
        </w:rPr>
        <w:t xml:space="preserve">Are earnings numbers reported by </w:t>
      </w:r>
      <w:r w:rsidR="007170FB" w:rsidRPr="00D51EF4">
        <w:rPr>
          <w:lang w:val="en-GB"/>
        </w:rPr>
        <w:t>for-profit</w:t>
      </w:r>
      <w:r w:rsidR="00731B79" w:rsidRPr="00D51EF4">
        <w:rPr>
          <w:lang w:val="en-GB"/>
        </w:rPr>
        <w:t xml:space="preserve"> organi</w:t>
      </w:r>
      <w:r w:rsidR="00D411BD" w:rsidRPr="00D51EF4">
        <w:rPr>
          <w:lang w:val="en-GB"/>
        </w:rPr>
        <w:t>s</w:t>
      </w:r>
      <w:r w:rsidR="00731B79" w:rsidRPr="00D51EF4">
        <w:rPr>
          <w:lang w:val="en-GB"/>
        </w:rPr>
        <w:t>ations more trustworthy</w:t>
      </w:r>
      <w:r w:rsidRPr="00D51EF4">
        <w:rPr>
          <w:lang w:val="en-GB"/>
        </w:rPr>
        <w:t>, useful</w:t>
      </w:r>
      <w:r w:rsidR="00E564DA" w:rsidRPr="00D51EF4">
        <w:rPr>
          <w:lang w:val="en-GB"/>
        </w:rPr>
        <w:t>,</w:t>
      </w:r>
      <w:r w:rsidRPr="00D51EF4">
        <w:rPr>
          <w:lang w:val="en-GB"/>
        </w:rPr>
        <w:t xml:space="preserve"> and relevant</w:t>
      </w:r>
      <w:r w:rsidR="00731B79" w:rsidRPr="00D51EF4">
        <w:rPr>
          <w:lang w:val="en-GB"/>
        </w:rPr>
        <w:t xml:space="preserve"> than earnings numbers from </w:t>
      </w:r>
      <w:proofErr w:type="spellStart"/>
      <w:r w:rsidR="00731B79" w:rsidRPr="00D51EF4">
        <w:rPr>
          <w:lang w:val="en-GB"/>
        </w:rPr>
        <w:t>nonprofit</w:t>
      </w:r>
      <w:proofErr w:type="spellEnd"/>
      <w:r w:rsidR="00731B79" w:rsidRPr="00D51EF4">
        <w:rPr>
          <w:lang w:val="en-GB"/>
        </w:rPr>
        <w:t xml:space="preserve"> </w:t>
      </w:r>
      <w:proofErr w:type="gramStart"/>
      <w:r w:rsidR="00731B79" w:rsidRPr="00D51EF4">
        <w:rPr>
          <w:lang w:val="en-GB"/>
        </w:rPr>
        <w:t>organi</w:t>
      </w:r>
      <w:r w:rsidR="00D411BD" w:rsidRPr="00D51EF4">
        <w:rPr>
          <w:lang w:val="en-GB"/>
        </w:rPr>
        <w:t>s</w:t>
      </w:r>
      <w:r w:rsidR="00731B79" w:rsidRPr="00D51EF4">
        <w:rPr>
          <w:lang w:val="en-GB"/>
        </w:rPr>
        <w:t>ations?</w:t>
      </w:r>
      <w:proofErr w:type="gramEnd"/>
      <w:r w:rsidR="00731B79" w:rsidRPr="00D51EF4">
        <w:rPr>
          <w:lang w:val="en-GB"/>
        </w:rPr>
        <w:t xml:space="preserve"> </w:t>
      </w:r>
    </w:p>
    <w:p w14:paraId="1862CAF0" w14:textId="77777777" w:rsidR="00E564DA" w:rsidRPr="00D51EF4" w:rsidRDefault="00E564DA" w:rsidP="00F65B35">
      <w:pPr>
        <w:spacing w:line="480" w:lineRule="auto"/>
        <w:jc w:val="both"/>
        <w:rPr>
          <w:lang w:val="en-GB"/>
        </w:rPr>
      </w:pPr>
    </w:p>
    <w:p w14:paraId="211025FE" w14:textId="716D7705" w:rsidR="00E42D90" w:rsidRPr="00D51EF4" w:rsidRDefault="00731B79" w:rsidP="00F65B35">
      <w:pPr>
        <w:spacing w:line="480" w:lineRule="auto"/>
        <w:jc w:val="both"/>
        <w:rPr>
          <w:lang w:val="en-GB"/>
        </w:rPr>
      </w:pPr>
      <w:r w:rsidRPr="00D51EF4">
        <w:rPr>
          <w:lang w:val="en-GB"/>
        </w:rPr>
        <w:t xml:space="preserve">The lack of prior research </w:t>
      </w:r>
      <w:proofErr w:type="gramStart"/>
      <w:r w:rsidR="00D411BD" w:rsidRPr="00D51EF4">
        <w:rPr>
          <w:lang w:val="en-GB"/>
        </w:rPr>
        <w:t xml:space="preserve">may </w:t>
      </w:r>
      <w:r w:rsidRPr="00D51EF4">
        <w:rPr>
          <w:lang w:val="en-GB"/>
        </w:rPr>
        <w:t>be attributed</w:t>
      </w:r>
      <w:proofErr w:type="gramEnd"/>
      <w:r w:rsidRPr="00D51EF4">
        <w:rPr>
          <w:lang w:val="en-GB"/>
        </w:rPr>
        <w:t xml:space="preserve"> to </w:t>
      </w:r>
      <w:r w:rsidR="00C42737" w:rsidRPr="00D51EF4">
        <w:rPr>
          <w:lang w:val="en-GB"/>
        </w:rPr>
        <w:t xml:space="preserve">the </w:t>
      </w:r>
      <w:r w:rsidRPr="00D51EF4">
        <w:rPr>
          <w:lang w:val="en-GB"/>
        </w:rPr>
        <w:t>challenge</w:t>
      </w:r>
      <w:r w:rsidR="00C42737" w:rsidRPr="00D51EF4">
        <w:rPr>
          <w:lang w:val="en-GB"/>
        </w:rPr>
        <w:t xml:space="preserve">s inherent in a comparison of for-profit and </w:t>
      </w:r>
      <w:proofErr w:type="spellStart"/>
      <w:r w:rsidR="00C42737" w:rsidRPr="00D51EF4">
        <w:rPr>
          <w:lang w:val="en-GB"/>
        </w:rPr>
        <w:t>nonprofit</w:t>
      </w:r>
      <w:proofErr w:type="spellEnd"/>
      <w:r w:rsidR="00C42737" w:rsidRPr="00D51EF4">
        <w:rPr>
          <w:lang w:val="en-GB"/>
        </w:rPr>
        <w:t xml:space="preserve"> organisations</w:t>
      </w:r>
      <w:r w:rsidRPr="00D51EF4">
        <w:rPr>
          <w:lang w:val="en-GB"/>
        </w:rPr>
        <w:t xml:space="preserve">. </w:t>
      </w:r>
      <w:proofErr w:type="spellStart"/>
      <w:r w:rsidRPr="00D51EF4">
        <w:rPr>
          <w:lang w:val="en-GB"/>
        </w:rPr>
        <w:t>Nonprofit</w:t>
      </w:r>
      <w:proofErr w:type="spellEnd"/>
      <w:r w:rsidRPr="00D51EF4">
        <w:rPr>
          <w:lang w:val="en-GB"/>
        </w:rPr>
        <w:t xml:space="preserve"> organi</w:t>
      </w:r>
      <w:r w:rsidR="00D411BD" w:rsidRPr="00D51EF4">
        <w:rPr>
          <w:lang w:val="en-GB"/>
        </w:rPr>
        <w:t>s</w:t>
      </w:r>
      <w:r w:rsidRPr="00D51EF4">
        <w:rPr>
          <w:lang w:val="en-GB"/>
        </w:rPr>
        <w:t xml:space="preserve">ations typically have </w:t>
      </w:r>
      <w:r w:rsidR="00D411BD" w:rsidRPr="00D51EF4">
        <w:rPr>
          <w:lang w:val="en-GB"/>
        </w:rPr>
        <w:t xml:space="preserve">different </w:t>
      </w:r>
      <w:r w:rsidRPr="00D51EF4">
        <w:rPr>
          <w:lang w:val="en-GB"/>
        </w:rPr>
        <w:t xml:space="preserve">characteristics </w:t>
      </w:r>
      <w:r w:rsidR="00AE6A2A" w:rsidRPr="00D51EF4">
        <w:rPr>
          <w:lang w:val="en-GB"/>
        </w:rPr>
        <w:t xml:space="preserve">and operate in </w:t>
      </w:r>
      <w:r w:rsidR="00D411BD" w:rsidRPr="00D51EF4">
        <w:rPr>
          <w:lang w:val="en-GB"/>
        </w:rPr>
        <w:t xml:space="preserve">very different </w:t>
      </w:r>
      <w:r w:rsidR="00AE6A2A" w:rsidRPr="00D51EF4">
        <w:rPr>
          <w:lang w:val="en-GB"/>
        </w:rPr>
        <w:t xml:space="preserve">industries </w:t>
      </w:r>
      <w:r w:rsidR="00D411BD" w:rsidRPr="00D51EF4">
        <w:rPr>
          <w:lang w:val="en-GB"/>
        </w:rPr>
        <w:t>than</w:t>
      </w:r>
      <w:r w:rsidRPr="00D51EF4">
        <w:rPr>
          <w:lang w:val="en-GB"/>
        </w:rPr>
        <w:t xml:space="preserve"> for-profit organi</w:t>
      </w:r>
      <w:r w:rsidR="00D411BD" w:rsidRPr="00D51EF4">
        <w:rPr>
          <w:lang w:val="en-GB"/>
        </w:rPr>
        <w:t>s</w:t>
      </w:r>
      <w:r w:rsidRPr="00D51EF4">
        <w:rPr>
          <w:lang w:val="en-GB"/>
        </w:rPr>
        <w:t>ations</w:t>
      </w:r>
      <w:r w:rsidR="00D411BD" w:rsidRPr="00D51EF4">
        <w:rPr>
          <w:lang w:val="en-GB"/>
        </w:rPr>
        <w:t xml:space="preserve">, which substantially </w:t>
      </w:r>
      <w:proofErr w:type="gramStart"/>
      <w:r w:rsidRPr="00D51EF4">
        <w:rPr>
          <w:lang w:val="en-GB"/>
        </w:rPr>
        <w:t>complicates</w:t>
      </w:r>
      <w:proofErr w:type="gramEnd"/>
      <w:r w:rsidRPr="00D51EF4">
        <w:rPr>
          <w:lang w:val="en-GB"/>
        </w:rPr>
        <w:t xml:space="preserve"> </w:t>
      </w:r>
      <w:r w:rsidR="00AE6A2A" w:rsidRPr="00D51EF4">
        <w:rPr>
          <w:lang w:val="en-GB"/>
        </w:rPr>
        <w:t xml:space="preserve">comparative </w:t>
      </w:r>
      <w:r w:rsidRPr="00D51EF4">
        <w:rPr>
          <w:lang w:val="en-GB"/>
        </w:rPr>
        <w:t>earnings quality studies.</w:t>
      </w:r>
      <w:r w:rsidR="00D411BD" w:rsidRPr="00D51EF4">
        <w:rPr>
          <w:lang w:val="en-GB"/>
        </w:rPr>
        <w:t xml:space="preserve"> T</w:t>
      </w:r>
      <w:r w:rsidRPr="00D51EF4">
        <w:rPr>
          <w:lang w:val="en-GB"/>
        </w:rPr>
        <w:t xml:space="preserve">he microfinance industry offers a </w:t>
      </w:r>
      <w:r w:rsidR="00921015" w:rsidRPr="00D51EF4">
        <w:rPr>
          <w:lang w:val="en-GB"/>
        </w:rPr>
        <w:t xml:space="preserve">unique </w:t>
      </w:r>
      <w:r w:rsidRPr="00D51EF4">
        <w:rPr>
          <w:lang w:val="en-GB"/>
        </w:rPr>
        <w:t>solution to this research challenge</w:t>
      </w:r>
      <w:r w:rsidR="007F7978" w:rsidRPr="00D51EF4">
        <w:rPr>
          <w:lang w:val="en-GB"/>
        </w:rPr>
        <w:t xml:space="preserve">; some </w:t>
      </w:r>
      <w:r w:rsidR="00DF6AC0" w:rsidRPr="00D51EF4">
        <w:rPr>
          <w:lang w:val="en-GB"/>
        </w:rPr>
        <w:t>m</w:t>
      </w:r>
      <w:r w:rsidR="007F7978" w:rsidRPr="00D51EF4">
        <w:rPr>
          <w:lang w:val="en-GB"/>
        </w:rPr>
        <w:t xml:space="preserve">icrofinance </w:t>
      </w:r>
      <w:r w:rsidR="00DF6AC0" w:rsidRPr="00D51EF4">
        <w:rPr>
          <w:lang w:val="en-GB"/>
        </w:rPr>
        <w:t>i</w:t>
      </w:r>
      <w:r w:rsidR="007F7978" w:rsidRPr="00D51EF4">
        <w:rPr>
          <w:lang w:val="en-GB"/>
        </w:rPr>
        <w:t xml:space="preserve">nstitutions (MFIs) are </w:t>
      </w:r>
      <w:r w:rsidR="00054D56" w:rsidRPr="00D51EF4">
        <w:rPr>
          <w:lang w:val="en-GB"/>
        </w:rPr>
        <w:t>for-</w:t>
      </w:r>
      <w:r w:rsidR="007F7978" w:rsidRPr="00D51EF4">
        <w:rPr>
          <w:lang w:val="en-GB"/>
        </w:rPr>
        <w:t xml:space="preserve">profit </w:t>
      </w:r>
      <w:r w:rsidR="00054D56" w:rsidRPr="00D51EF4">
        <w:rPr>
          <w:lang w:val="en-GB"/>
        </w:rPr>
        <w:t xml:space="preserve">organisations, </w:t>
      </w:r>
      <w:r w:rsidR="00C42737" w:rsidRPr="00D51EF4">
        <w:rPr>
          <w:lang w:val="en-GB"/>
        </w:rPr>
        <w:t xml:space="preserve">whereas </w:t>
      </w:r>
      <w:r w:rsidR="007F7978" w:rsidRPr="00D51EF4">
        <w:rPr>
          <w:lang w:val="en-GB"/>
        </w:rPr>
        <w:t xml:space="preserve">others are </w:t>
      </w:r>
      <w:proofErr w:type="spellStart"/>
      <w:r w:rsidR="007F7978" w:rsidRPr="00D51EF4">
        <w:rPr>
          <w:lang w:val="en-GB"/>
        </w:rPr>
        <w:t>nonprofit</w:t>
      </w:r>
      <w:proofErr w:type="spellEnd"/>
      <w:r w:rsidR="007F7978" w:rsidRPr="00D51EF4">
        <w:rPr>
          <w:lang w:val="en-GB"/>
        </w:rPr>
        <w:t xml:space="preserve"> organisations, but they all operate in similar markets. </w:t>
      </w:r>
      <w:r w:rsidR="000F0B14" w:rsidRPr="00D51EF4">
        <w:rPr>
          <w:lang w:val="en-GB"/>
        </w:rPr>
        <w:t>Previous studies</w:t>
      </w:r>
      <w:r w:rsidR="00A76E9F" w:rsidRPr="00D51EF4">
        <w:rPr>
          <w:lang w:val="en-GB"/>
        </w:rPr>
        <w:t xml:space="preserve"> (Hartarska</w:t>
      </w:r>
      <w:r w:rsidR="005920AA" w:rsidRPr="00D51EF4">
        <w:rPr>
          <w:lang w:val="en-GB"/>
        </w:rPr>
        <w:t xml:space="preserve"> 2005; M</w:t>
      </w:r>
      <w:r w:rsidR="000F0B14" w:rsidRPr="00D51EF4">
        <w:rPr>
          <w:lang w:val="en-GB"/>
        </w:rPr>
        <w:t>ersland and Strøm 2009) suggest</w:t>
      </w:r>
      <w:r w:rsidR="005920AA" w:rsidRPr="00D51EF4">
        <w:rPr>
          <w:lang w:val="en-GB"/>
        </w:rPr>
        <w:t xml:space="preserve"> no difference in the overall financial performance of the two sets of MFIs. </w:t>
      </w:r>
      <w:r w:rsidR="00F06F58" w:rsidRPr="00D51EF4">
        <w:rPr>
          <w:lang w:val="en-GB"/>
        </w:rPr>
        <w:t xml:space="preserve">Moreover, </w:t>
      </w:r>
      <w:r w:rsidR="00424F89" w:rsidRPr="00424F89">
        <w:rPr>
          <w:lang w:val="en-GB"/>
        </w:rPr>
        <w:t>Beisland and Mersland</w:t>
      </w:r>
      <w:r w:rsidR="00424F89">
        <w:rPr>
          <w:i/>
          <w:lang w:val="en-GB"/>
        </w:rPr>
        <w:t xml:space="preserve"> (</w:t>
      </w:r>
      <w:r w:rsidR="00424F89">
        <w:rPr>
          <w:lang w:val="en-GB"/>
        </w:rPr>
        <w:t>2013</w:t>
      </w:r>
      <w:r w:rsidR="00C168E6" w:rsidRPr="00D51EF4">
        <w:rPr>
          <w:lang w:val="en-GB"/>
        </w:rPr>
        <w:t xml:space="preserve">) </w:t>
      </w:r>
      <w:r w:rsidR="00C42737" w:rsidRPr="00D51EF4">
        <w:rPr>
          <w:lang w:val="en-GB"/>
        </w:rPr>
        <w:t xml:space="preserve">demonstrate </w:t>
      </w:r>
      <w:r w:rsidR="00F06F58" w:rsidRPr="00D51EF4">
        <w:rPr>
          <w:lang w:val="en-GB"/>
        </w:rPr>
        <w:t xml:space="preserve">that the overall earnings quality </w:t>
      </w:r>
      <w:r w:rsidR="00C42737" w:rsidRPr="00D51EF4">
        <w:rPr>
          <w:lang w:val="en-GB"/>
        </w:rPr>
        <w:t xml:space="preserve">of </w:t>
      </w:r>
      <w:r w:rsidR="00C90434" w:rsidRPr="00D51EF4">
        <w:rPr>
          <w:lang w:val="en-GB"/>
        </w:rPr>
        <w:t>MFIs</w:t>
      </w:r>
      <w:r w:rsidR="00F06F58" w:rsidRPr="00D51EF4">
        <w:rPr>
          <w:lang w:val="en-GB"/>
        </w:rPr>
        <w:t xml:space="preserve"> does not differ from that of ordinary exchange</w:t>
      </w:r>
      <w:r w:rsidR="00D411BD" w:rsidRPr="00D51EF4">
        <w:rPr>
          <w:lang w:val="en-GB"/>
        </w:rPr>
        <w:t>-</w:t>
      </w:r>
      <w:r w:rsidR="00F06F58" w:rsidRPr="00D51EF4">
        <w:rPr>
          <w:lang w:val="en-GB"/>
        </w:rPr>
        <w:t>listed corporations. Thus, th</w:t>
      </w:r>
      <w:r w:rsidR="00DF6AC0" w:rsidRPr="00D51EF4">
        <w:rPr>
          <w:lang w:val="en-GB"/>
        </w:rPr>
        <w:t>e microfinance</w:t>
      </w:r>
      <w:r w:rsidR="00F06F58" w:rsidRPr="00D51EF4">
        <w:rPr>
          <w:lang w:val="en-GB"/>
        </w:rPr>
        <w:t xml:space="preserve"> industry provides an excellent case for the study of differences in earnings quality between </w:t>
      </w:r>
      <w:r w:rsidR="00E81F6A" w:rsidRPr="00D51EF4">
        <w:rPr>
          <w:lang w:val="en-GB"/>
        </w:rPr>
        <w:t xml:space="preserve">for-profit and </w:t>
      </w:r>
      <w:proofErr w:type="spellStart"/>
      <w:r w:rsidR="00E81F6A" w:rsidRPr="00D51EF4">
        <w:rPr>
          <w:lang w:val="en-GB"/>
        </w:rPr>
        <w:t>nonprofit</w:t>
      </w:r>
      <w:proofErr w:type="spellEnd"/>
      <w:r w:rsidR="00E81F6A" w:rsidRPr="00D51EF4">
        <w:rPr>
          <w:lang w:val="en-GB"/>
        </w:rPr>
        <w:t xml:space="preserve"> </w:t>
      </w:r>
      <w:r w:rsidR="00F06F58" w:rsidRPr="00D51EF4">
        <w:rPr>
          <w:lang w:val="en-GB"/>
        </w:rPr>
        <w:t>organi</w:t>
      </w:r>
      <w:r w:rsidR="00D411BD" w:rsidRPr="00D51EF4">
        <w:rPr>
          <w:lang w:val="en-GB"/>
        </w:rPr>
        <w:t>s</w:t>
      </w:r>
      <w:r w:rsidR="00F06F58" w:rsidRPr="00D51EF4">
        <w:rPr>
          <w:lang w:val="en-GB"/>
        </w:rPr>
        <w:t xml:space="preserve">ations. </w:t>
      </w:r>
    </w:p>
    <w:p w14:paraId="038E3BB9" w14:textId="77777777" w:rsidR="00AE6A2A" w:rsidRPr="00D51EF4" w:rsidRDefault="00AE6A2A" w:rsidP="00F65B35">
      <w:pPr>
        <w:spacing w:line="480" w:lineRule="auto"/>
        <w:jc w:val="both"/>
        <w:rPr>
          <w:lang w:val="en-GB"/>
        </w:rPr>
      </w:pPr>
    </w:p>
    <w:p w14:paraId="0295CF66" w14:textId="2048D85D" w:rsidR="00E506A0" w:rsidRPr="00D51EF4" w:rsidRDefault="00ED179F" w:rsidP="0036437A">
      <w:pPr>
        <w:spacing w:line="480" w:lineRule="auto"/>
        <w:jc w:val="both"/>
        <w:rPr>
          <w:lang w:val="en-GB"/>
        </w:rPr>
      </w:pPr>
      <w:r w:rsidRPr="00D51EF4">
        <w:rPr>
          <w:lang w:val="en-GB"/>
        </w:rPr>
        <w:t>Although</w:t>
      </w:r>
      <w:r w:rsidR="007F2711" w:rsidRPr="00D51EF4">
        <w:rPr>
          <w:lang w:val="en-GB"/>
        </w:rPr>
        <w:t xml:space="preserve"> earnings quality research has typically been conducted on publicly listed companies (</w:t>
      </w:r>
      <w:proofErr w:type="spellStart"/>
      <w:r w:rsidR="00094386" w:rsidRPr="00D51EF4">
        <w:rPr>
          <w:lang w:val="en-GB"/>
        </w:rPr>
        <w:fldChar w:fldCharType="begin"/>
      </w:r>
      <w:r w:rsidR="00094386" w:rsidRPr="00953EFF">
        <w:rPr>
          <w:lang w:val="en-GB"/>
        </w:rPr>
        <w:instrText xml:space="preserve"> HYPERLINK \l "_ENREF_11" \o "Dechow, 2002 #742" </w:instrText>
      </w:r>
      <w:r w:rsidR="00094386" w:rsidRPr="00D51EF4">
        <w:rPr>
          <w:lang w:val="en-GB"/>
        </w:rPr>
        <w:fldChar w:fldCharType="separate"/>
      </w:r>
      <w:r w:rsidR="007F2711" w:rsidRPr="00D51EF4">
        <w:rPr>
          <w:lang w:val="en-GB"/>
        </w:rPr>
        <w:t>Dechow</w:t>
      </w:r>
      <w:proofErr w:type="spellEnd"/>
      <w:r w:rsidR="007F2711" w:rsidRPr="00D51EF4">
        <w:rPr>
          <w:lang w:val="en-GB"/>
        </w:rPr>
        <w:t xml:space="preserve"> and </w:t>
      </w:r>
      <w:proofErr w:type="spellStart"/>
      <w:r w:rsidR="007F2711" w:rsidRPr="00D51EF4">
        <w:rPr>
          <w:lang w:val="en-GB"/>
        </w:rPr>
        <w:t>Dichev</w:t>
      </w:r>
      <w:proofErr w:type="spellEnd"/>
      <w:r w:rsidR="007F2711" w:rsidRPr="00D51EF4">
        <w:rPr>
          <w:lang w:val="en-GB"/>
        </w:rPr>
        <w:t xml:space="preserve"> 2002</w:t>
      </w:r>
      <w:r w:rsidR="00094386" w:rsidRPr="00D51EF4">
        <w:rPr>
          <w:lang w:val="en-GB"/>
        </w:rPr>
        <w:fldChar w:fldCharType="end"/>
      </w:r>
      <w:r w:rsidR="007F2711" w:rsidRPr="00D51EF4">
        <w:rPr>
          <w:lang w:val="en-GB"/>
        </w:rPr>
        <w:t xml:space="preserve">; </w:t>
      </w:r>
      <w:hyperlink w:anchor="_ENREF_15" w:tooltip="Francis, 2004 #154" w:history="1">
        <w:r w:rsidR="007F2711" w:rsidRPr="00D51EF4">
          <w:rPr>
            <w:lang w:val="en-GB"/>
          </w:rPr>
          <w:t>Francis et al. 2004</w:t>
        </w:r>
      </w:hyperlink>
      <w:r w:rsidR="007F2711" w:rsidRPr="00D51EF4">
        <w:rPr>
          <w:lang w:val="en-GB"/>
        </w:rPr>
        <w:t xml:space="preserve">; </w:t>
      </w:r>
      <w:hyperlink w:anchor="_ENREF_3" w:tooltip="Barth, 2008 #741" w:history="1">
        <w:r w:rsidR="007F2711" w:rsidRPr="00D51EF4">
          <w:rPr>
            <w:lang w:val="en-GB"/>
          </w:rPr>
          <w:t>Barth et al. 2008</w:t>
        </w:r>
      </w:hyperlink>
      <w:r w:rsidR="007F2711" w:rsidRPr="00D51EF4">
        <w:rPr>
          <w:lang w:val="en-GB"/>
        </w:rPr>
        <w:t xml:space="preserve">), earnings quality </w:t>
      </w:r>
      <w:r w:rsidR="00DF6AC0" w:rsidRPr="00D51EF4">
        <w:rPr>
          <w:lang w:val="en-GB"/>
        </w:rPr>
        <w:t>is</w:t>
      </w:r>
      <w:r w:rsidRPr="00D51EF4">
        <w:rPr>
          <w:lang w:val="en-GB"/>
        </w:rPr>
        <w:t xml:space="preserve"> </w:t>
      </w:r>
      <w:r w:rsidR="00FB6515" w:rsidRPr="00D51EF4">
        <w:rPr>
          <w:lang w:val="en-GB"/>
        </w:rPr>
        <w:t xml:space="preserve">also </w:t>
      </w:r>
      <w:r w:rsidR="007F2711" w:rsidRPr="00D51EF4">
        <w:rPr>
          <w:lang w:val="en-GB"/>
        </w:rPr>
        <w:t xml:space="preserve">of great importance </w:t>
      </w:r>
      <w:r w:rsidR="00DF6AC0" w:rsidRPr="00D51EF4">
        <w:rPr>
          <w:lang w:val="en-GB"/>
        </w:rPr>
        <w:t>for</w:t>
      </w:r>
      <w:r w:rsidR="007F2711" w:rsidRPr="00D51EF4">
        <w:rPr>
          <w:lang w:val="en-GB"/>
        </w:rPr>
        <w:t xml:space="preserve"> </w:t>
      </w:r>
      <w:proofErr w:type="spellStart"/>
      <w:r w:rsidR="007F2711" w:rsidRPr="00D51EF4">
        <w:rPr>
          <w:lang w:val="en-GB"/>
        </w:rPr>
        <w:t>nonprofit</w:t>
      </w:r>
      <w:proofErr w:type="spellEnd"/>
      <w:r w:rsidR="007F2711" w:rsidRPr="00D51EF4">
        <w:rPr>
          <w:lang w:val="en-GB"/>
        </w:rPr>
        <w:t xml:space="preserve"> organi</w:t>
      </w:r>
      <w:r w:rsidR="00D411BD" w:rsidRPr="00D51EF4">
        <w:rPr>
          <w:lang w:val="en-GB"/>
        </w:rPr>
        <w:t>s</w:t>
      </w:r>
      <w:r w:rsidR="007F2711" w:rsidRPr="00D51EF4">
        <w:rPr>
          <w:lang w:val="en-GB"/>
        </w:rPr>
        <w:t>ations. For instance, a large stakeholder group</w:t>
      </w:r>
      <w:r w:rsidR="00DF6AC0" w:rsidRPr="00D51EF4">
        <w:rPr>
          <w:lang w:val="en-GB"/>
        </w:rPr>
        <w:t>,</w:t>
      </w:r>
      <w:r w:rsidR="007F2711" w:rsidRPr="00D51EF4">
        <w:rPr>
          <w:lang w:val="en-GB"/>
        </w:rPr>
        <w:t xml:space="preserve"> such as the </w:t>
      </w:r>
      <w:r w:rsidR="007F2711" w:rsidRPr="00D51EF4">
        <w:rPr>
          <w:lang w:val="en-GB"/>
        </w:rPr>
        <w:lastRenderedPageBreak/>
        <w:t>donors</w:t>
      </w:r>
      <w:r w:rsidR="00DF6AC0" w:rsidRPr="00D51EF4">
        <w:rPr>
          <w:lang w:val="en-GB"/>
        </w:rPr>
        <w:t>,</w:t>
      </w:r>
      <w:r w:rsidR="007F2711" w:rsidRPr="00D51EF4">
        <w:rPr>
          <w:lang w:val="en-GB"/>
        </w:rPr>
        <w:t xml:space="preserve"> </w:t>
      </w:r>
      <w:r w:rsidR="00DF6AC0" w:rsidRPr="00D51EF4">
        <w:rPr>
          <w:lang w:val="en-GB"/>
        </w:rPr>
        <w:t>is interested in</w:t>
      </w:r>
      <w:r w:rsidR="007F2711" w:rsidRPr="00D51EF4">
        <w:rPr>
          <w:lang w:val="en-GB"/>
        </w:rPr>
        <w:t xml:space="preserve"> knowing whether </w:t>
      </w:r>
      <w:r w:rsidR="002C6558" w:rsidRPr="00D51EF4">
        <w:rPr>
          <w:lang w:val="en-GB"/>
        </w:rPr>
        <w:t xml:space="preserve">an </w:t>
      </w:r>
      <w:r w:rsidR="007F2711" w:rsidRPr="00D51EF4">
        <w:rPr>
          <w:lang w:val="en-GB"/>
        </w:rPr>
        <w:t>organi</w:t>
      </w:r>
      <w:r w:rsidR="00D411BD" w:rsidRPr="00D51EF4">
        <w:rPr>
          <w:lang w:val="en-GB"/>
        </w:rPr>
        <w:t>s</w:t>
      </w:r>
      <w:r w:rsidR="007F2711" w:rsidRPr="00D51EF4">
        <w:rPr>
          <w:lang w:val="en-GB"/>
        </w:rPr>
        <w:t>ation</w:t>
      </w:r>
      <w:r w:rsidR="002C6558" w:rsidRPr="00D51EF4">
        <w:rPr>
          <w:lang w:val="en-GB"/>
        </w:rPr>
        <w:t>’s</w:t>
      </w:r>
      <w:r w:rsidR="007F2711" w:rsidRPr="00D51EF4">
        <w:rPr>
          <w:lang w:val="en-GB"/>
        </w:rPr>
        <w:t xml:space="preserve"> earnings accurately convey information about </w:t>
      </w:r>
      <w:r w:rsidR="002C6558" w:rsidRPr="00D51EF4">
        <w:rPr>
          <w:lang w:val="en-GB"/>
        </w:rPr>
        <w:t xml:space="preserve">its </w:t>
      </w:r>
      <w:r w:rsidR="007F2711" w:rsidRPr="00D51EF4">
        <w:rPr>
          <w:lang w:val="en-GB"/>
        </w:rPr>
        <w:t>current and future financial performance. Donors</w:t>
      </w:r>
      <w:r w:rsidR="00ED5871" w:rsidRPr="00D51EF4">
        <w:rPr>
          <w:lang w:val="en-GB"/>
        </w:rPr>
        <w:t>, creditors and</w:t>
      </w:r>
      <w:r w:rsidR="007F2711" w:rsidRPr="00D51EF4">
        <w:rPr>
          <w:lang w:val="en-GB"/>
        </w:rPr>
        <w:t xml:space="preserve"> investors do not want to </w:t>
      </w:r>
      <w:r w:rsidR="002C6558" w:rsidRPr="00D51EF4">
        <w:rPr>
          <w:lang w:val="en-GB"/>
        </w:rPr>
        <w:t xml:space="preserve">become </w:t>
      </w:r>
      <w:r w:rsidR="007F2711" w:rsidRPr="00D51EF4">
        <w:rPr>
          <w:lang w:val="en-GB"/>
        </w:rPr>
        <w:t xml:space="preserve">involved </w:t>
      </w:r>
      <w:r w:rsidR="002C6558" w:rsidRPr="00D51EF4">
        <w:rPr>
          <w:lang w:val="en-GB"/>
        </w:rPr>
        <w:t xml:space="preserve">with </w:t>
      </w:r>
      <w:r w:rsidR="007F2711" w:rsidRPr="00D51EF4">
        <w:rPr>
          <w:lang w:val="en-GB"/>
        </w:rPr>
        <w:t>entities that are not financially sustainable</w:t>
      </w:r>
      <w:r w:rsidR="00765F50" w:rsidRPr="00D51EF4">
        <w:rPr>
          <w:lang w:val="en-GB"/>
        </w:rPr>
        <w:t>: “Whether or not a nonprofit organization is susceptible to financial problems is a concern of all stakeholders of the organization, because financial problems might not allow an organization to continue to meet its objectives and provide services</w:t>
      </w:r>
      <w:r w:rsidR="00F8317F" w:rsidRPr="00D51EF4">
        <w:rPr>
          <w:lang w:val="en-GB"/>
        </w:rPr>
        <w:t>” (Trussel</w:t>
      </w:r>
      <w:r w:rsidR="00765F50" w:rsidRPr="00D51EF4">
        <w:rPr>
          <w:lang w:val="en-GB"/>
        </w:rPr>
        <w:t xml:space="preserve"> 2002, p. 17).</w:t>
      </w:r>
      <w:r w:rsidR="007F2711" w:rsidRPr="00D51EF4">
        <w:rPr>
          <w:lang w:val="en-GB"/>
        </w:rPr>
        <w:t xml:space="preserve"> </w:t>
      </w:r>
      <w:r w:rsidR="00B80C58" w:rsidRPr="00D51EF4">
        <w:rPr>
          <w:lang w:val="en-GB"/>
        </w:rPr>
        <w:t>However</w:t>
      </w:r>
      <w:r w:rsidR="001B20C3" w:rsidRPr="00D51EF4">
        <w:rPr>
          <w:lang w:val="en-GB"/>
        </w:rPr>
        <w:t>, differences in manageri</w:t>
      </w:r>
      <w:r w:rsidR="0003722D" w:rsidRPr="00D51EF4">
        <w:rPr>
          <w:lang w:val="en-GB"/>
        </w:rPr>
        <w:t xml:space="preserve">al incentives and corporate governance structures </w:t>
      </w:r>
      <w:r w:rsidR="00B80C58" w:rsidRPr="00D51EF4">
        <w:rPr>
          <w:lang w:val="en-GB"/>
        </w:rPr>
        <w:t>can potentially</w:t>
      </w:r>
      <w:r w:rsidR="0003722D" w:rsidRPr="00D51EF4">
        <w:rPr>
          <w:lang w:val="en-GB"/>
        </w:rPr>
        <w:t xml:space="preserve"> lead to differences in </w:t>
      </w:r>
      <w:r w:rsidR="00B80C58" w:rsidRPr="00D51EF4">
        <w:rPr>
          <w:lang w:val="en-GB"/>
        </w:rPr>
        <w:t xml:space="preserve">the </w:t>
      </w:r>
      <w:r w:rsidR="0003722D" w:rsidRPr="00D51EF4">
        <w:rPr>
          <w:lang w:val="en-GB"/>
        </w:rPr>
        <w:t>usefulness, relevance, and trustwort</w:t>
      </w:r>
      <w:r w:rsidR="001B20C3" w:rsidRPr="00D51EF4">
        <w:rPr>
          <w:lang w:val="en-GB"/>
        </w:rPr>
        <w:t>h</w:t>
      </w:r>
      <w:r w:rsidR="0003722D" w:rsidRPr="00D51EF4">
        <w:rPr>
          <w:lang w:val="en-GB"/>
        </w:rPr>
        <w:t xml:space="preserve">iness </w:t>
      </w:r>
      <w:r w:rsidR="00B80C58" w:rsidRPr="00D51EF4">
        <w:rPr>
          <w:lang w:val="en-GB"/>
        </w:rPr>
        <w:t xml:space="preserve">of financial reporting for </w:t>
      </w:r>
      <w:proofErr w:type="spellStart"/>
      <w:r w:rsidR="0003722D" w:rsidRPr="00D51EF4">
        <w:rPr>
          <w:lang w:val="en-GB"/>
        </w:rPr>
        <w:t>nonprofit</w:t>
      </w:r>
      <w:proofErr w:type="spellEnd"/>
      <w:r w:rsidR="0003722D" w:rsidRPr="00D51EF4">
        <w:rPr>
          <w:lang w:val="en-GB"/>
        </w:rPr>
        <w:t xml:space="preserve"> organisations </w:t>
      </w:r>
      <w:r w:rsidR="00B80C58" w:rsidRPr="00D51EF4">
        <w:rPr>
          <w:lang w:val="en-GB"/>
        </w:rPr>
        <w:t xml:space="preserve">compared with </w:t>
      </w:r>
      <w:r w:rsidR="0003722D" w:rsidRPr="00D51EF4">
        <w:rPr>
          <w:lang w:val="en-GB"/>
        </w:rPr>
        <w:t xml:space="preserve">their for-profit counterparts. </w:t>
      </w:r>
    </w:p>
    <w:p w14:paraId="48422F75" w14:textId="77777777" w:rsidR="00E506A0" w:rsidRPr="00D51EF4" w:rsidRDefault="00E506A0" w:rsidP="00F65B35">
      <w:pPr>
        <w:spacing w:line="480" w:lineRule="auto"/>
        <w:jc w:val="both"/>
        <w:rPr>
          <w:lang w:val="en-GB"/>
        </w:rPr>
      </w:pPr>
    </w:p>
    <w:p w14:paraId="2E236636" w14:textId="75496219" w:rsidR="0003722D" w:rsidRPr="00D51EF4" w:rsidRDefault="00802894" w:rsidP="00F65B35">
      <w:pPr>
        <w:spacing w:line="480" w:lineRule="auto"/>
        <w:jc w:val="both"/>
        <w:rPr>
          <w:lang w:val="en-GB"/>
        </w:rPr>
      </w:pPr>
      <w:r w:rsidRPr="00D51EF4">
        <w:rPr>
          <w:lang w:val="en-GB"/>
        </w:rPr>
        <w:t xml:space="preserve">In contrast </w:t>
      </w:r>
      <w:r w:rsidR="001E525A" w:rsidRPr="00D51EF4">
        <w:rPr>
          <w:lang w:val="en-GB"/>
        </w:rPr>
        <w:t>with</w:t>
      </w:r>
      <w:r w:rsidR="00424F89">
        <w:rPr>
          <w:lang w:val="en-GB"/>
        </w:rPr>
        <w:t xml:space="preserve"> Beisland and Mersland</w:t>
      </w:r>
      <w:r w:rsidRPr="00D51EF4">
        <w:rPr>
          <w:lang w:val="en-GB"/>
        </w:rPr>
        <w:t xml:space="preserve"> (</w:t>
      </w:r>
      <w:r w:rsidR="00424F89">
        <w:rPr>
          <w:lang w:val="en-GB"/>
        </w:rPr>
        <w:t>2013</w:t>
      </w:r>
      <w:r w:rsidRPr="00D51EF4">
        <w:rPr>
          <w:lang w:val="en-GB"/>
        </w:rPr>
        <w:t xml:space="preserve">), who </w:t>
      </w:r>
      <w:r w:rsidR="001E525A" w:rsidRPr="00D51EF4">
        <w:rPr>
          <w:lang w:val="en-GB"/>
        </w:rPr>
        <w:t>focus on</w:t>
      </w:r>
      <w:r w:rsidRPr="00D51EF4">
        <w:rPr>
          <w:lang w:val="en-GB"/>
        </w:rPr>
        <w:t xml:space="preserve"> </w:t>
      </w:r>
      <w:r w:rsidR="00ED5871" w:rsidRPr="00D51EF4">
        <w:rPr>
          <w:lang w:val="en-GB"/>
        </w:rPr>
        <w:t xml:space="preserve">the </w:t>
      </w:r>
      <w:r w:rsidR="00127E2B" w:rsidRPr="00D51EF4">
        <w:rPr>
          <w:lang w:val="en-GB"/>
        </w:rPr>
        <w:t xml:space="preserve">overall </w:t>
      </w:r>
      <w:r w:rsidRPr="00D51EF4">
        <w:rPr>
          <w:lang w:val="en-GB"/>
        </w:rPr>
        <w:t xml:space="preserve">reporting quality in the microfinance industry, the scope of this study is far more general. We seek to study </w:t>
      </w:r>
      <w:r w:rsidR="00685761" w:rsidRPr="00D51EF4">
        <w:rPr>
          <w:lang w:val="en-GB"/>
        </w:rPr>
        <w:t xml:space="preserve">whether </w:t>
      </w:r>
      <w:r w:rsidRPr="00D51EF4">
        <w:rPr>
          <w:lang w:val="en-GB"/>
        </w:rPr>
        <w:t xml:space="preserve">the </w:t>
      </w:r>
      <w:r w:rsidR="00272A17" w:rsidRPr="00D51EF4">
        <w:rPr>
          <w:lang w:val="en-GB"/>
        </w:rPr>
        <w:t>for-profit</w:t>
      </w:r>
      <w:r w:rsidRPr="00D51EF4">
        <w:rPr>
          <w:lang w:val="en-GB"/>
        </w:rPr>
        <w:t xml:space="preserve"> objective in itself affects the quality of the accounting information and </w:t>
      </w:r>
      <w:r w:rsidR="001E525A" w:rsidRPr="00D51EF4">
        <w:rPr>
          <w:lang w:val="en-GB"/>
        </w:rPr>
        <w:t xml:space="preserve">use </w:t>
      </w:r>
      <w:r w:rsidR="0003722D" w:rsidRPr="00D51EF4">
        <w:rPr>
          <w:lang w:val="en-GB"/>
        </w:rPr>
        <w:t xml:space="preserve">the microfinance industry as a case </w:t>
      </w:r>
      <w:r w:rsidR="001E525A" w:rsidRPr="00D51EF4">
        <w:rPr>
          <w:lang w:val="en-GB"/>
        </w:rPr>
        <w:t xml:space="preserve">study </w:t>
      </w:r>
      <w:r w:rsidR="0003722D" w:rsidRPr="00D51EF4">
        <w:rPr>
          <w:lang w:val="en-GB"/>
        </w:rPr>
        <w:t xml:space="preserve">simply because of its suitability. </w:t>
      </w:r>
      <w:r w:rsidRPr="00D51EF4">
        <w:rPr>
          <w:lang w:val="en-GB"/>
        </w:rPr>
        <w:t xml:space="preserve">Thus, </w:t>
      </w:r>
      <w:r w:rsidR="001E525A" w:rsidRPr="00D51EF4">
        <w:rPr>
          <w:lang w:val="en-GB"/>
        </w:rPr>
        <w:t xml:space="preserve">our </w:t>
      </w:r>
      <w:r w:rsidRPr="00D51EF4">
        <w:rPr>
          <w:lang w:val="en-GB"/>
        </w:rPr>
        <w:t xml:space="preserve">findings should be of interest to the </w:t>
      </w:r>
      <w:r w:rsidR="001E525A" w:rsidRPr="00D51EF4">
        <w:rPr>
          <w:lang w:val="en-GB"/>
        </w:rPr>
        <w:t xml:space="preserve">entire </w:t>
      </w:r>
      <w:proofErr w:type="spellStart"/>
      <w:r w:rsidR="003A21BB">
        <w:rPr>
          <w:lang w:val="en-GB"/>
        </w:rPr>
        <w:t>non</w:t>
      </w:r>
      <w:r w:rsidRPr="00D51EF4">
        <w:rPr>
          <w:lang w:val="en-GB"/>
        </w:rPr>
        <w:t>profit</w:t>
      </w:r>
      <w:proofErr w:type="spellEnd"/>
      <w:r w:rsidRPr="00D51EF4">
        <w:rPr>
          <w:lang w:val="en-GB"/>
        </w:rPr>
        <w:t xml:space="preserve"> community </w:t>
      </w:r>
      <w:r w:rsidR="001E525A" w:rsidRPr="00D51EF4">
        <w:rPr>
          <w:lang w:val="en-GB"/>
        </w:rPr>
        <w:t>and</w:t>
      </w:r>
      <w:r w:rsidRPr="00D51EF4">
        <w:rPr>
          <w:lang w:val="en-GB"/>
        </w:rPr>
        <w:t xml:space="preserve"> to accounting professionals.</w:t>
      </w:r>
      <w:r w:rsidR="0003722D" w:rsidRPr="00D51EF4">
        <w:rPr>
          <w:lang w:val="en-GB"/>
        </w:rPr>
        <w:t xml:space="preserve"> </w:t>
      </w:r>
      <w:r w:rsidR="00054D56" w:rsidRPr="00D51EF4">
        <w:rPr>
          <w:lang w:val="en-GB"/>
        </w:rPr>
        <w:t>W</w:t>
      </w:r>
      <w:r w:rsidR="0003722D" w:rsidRPr="00D51EF4">
        <w:rPr>
          <w:lang w:val="en-GB"/>
        </w:rPr>
        <w:t xml:space="preserve">e would like to </w:t>
      </w:r>
      <w:r w:rsidR="001E525A" w:rsidRPr="00D51EF4">
        <w:rPr>
          <w:lang w:val="en-GB"/>
        </w:rPr>
        <w:t>highlight</w:t>
      </w:r>
      <w:r w:rsidR="0003722D" w:rsidRPr="00D51EF4">
        <w:rPr>
          <w:lang w:val="en-GB"/>
        </w:rPr>
        <w:t xml:space="preserve"> two major findings</w:t>
      </w:r>
      <w:r w:rsidR="00054D56" w:rsidRPr="00D51EF4">
        <w:rPr>
          <w:lang w:val="en-GB"/>
        </w:rPr>
        <w:t xml:space="preserve"> </w:t>
      </w:r>
      <w:r w:rsidR="001E525A" w:rsidRPr="00D51EF4">
        <w:rPr>
          <w:lang w:val="en-GB"/>
        </w:rPr>
        <w:t xml:space="preserve">of </w:t>
      </w:r>
      <w:r w:rsidR="00054D56" w:rsidRPr="00D51EF4">
        <w:rPr>
          <w:lang w:val="en-GB"/>
        </w:rPr>
        <w:t>this study</w:t>
      </w:r>
      <w:r w:rsidR="0003722D" w:rsidRPr="00D51EF4">
        <w:rPr>
          <w:lang w:val="en-GB"/>
        </w:rPr>
        <w:t>.</w:t>
      </w:r>
    </w:p>
    <w:p w14:paraId="1F14F3C5" w14:textId="77777777" w:rsidR="0003722D" w:rsidRPr="00D51EF4" w:rsidRDefault="0003722D" w:rsidP="00F65B35">
      <w:pPr>
        <w:spacing w:line="480" w:lineRule="auto"/>
        <w:jc w:val="both"/>
        <w:rPr>
          <w:lang w:val="en-GB"/>
        </w:rPr>
      </w:pPr>
    </w:p>
    <w:p w14:paraId="01D8915B" w14:textId="36EF6808" w:rsidR="00103E43" w:rsidRPr="00D51EF4" w:rsidRDefault="0003722D" w:rsidP="00F65B35">
      <w:pPr>
        <w:spacing w:line="480" w:lineRule="auto"/>
        <w:jc w:val="both"/>
        <w:rPr>
          <w:lang w:val="en-GB"/>
        </w:rPr>
      </w:pPr>
      <w:r w:rsidRPr="00D51EF4">
        <w:rPr>
          <w:lang w:val="en-GB"/>
        </w:rPr>
        <w:t xml:space="preserve">First, we find few differences in earnings quality between </w:t>
      </w:r>
      <w:proofErr w:type="spellStart"/>
      <w:r w:rsidRPr="00D51EF4">
        <w:rPr>
          <w:lang w:val="en-GB"/>
        </w:rPr>
        <w:t>nonprofit</w:t>
      </w:r>
      <w:proofErr w:type="spellEnd"/>
      <w:r w:rsidRPr="00D51EF4">
        <w:rPr>
          <w:lang w:val="en-GB"/>
        </w:rPr>
        <w:t xml:space="preserve"> and </w:t>
      </w:r>
      <w:r w:rsidR="00054D56" w:rsidRPr="00D51EF4">
        <w:rPr>
          <w:lang w:val="en-GB"/>
        </w:rPr>
        <w:t>for-</w:t>
      </w:r>
      <w:r w:rsidRPr="00D51EF4">
        <w:rPr>
          <w:lang w:val="en-GB"/>
        </w:rPr>
        <w:t>profit</w:t>
      </w:r>
      <w:r w:rsidR="00ED5871" w:rsidRPr="00D51EF4">
        <w:rPr>
          <w:lang w:val="en-GB"/>
        </w:rPr>
        <w:t xml:space="preserve"> organisations</w:t>
      </w:r>
      <w:r w:rsidRPr="00D51EF4">
        <w:rPr>
          <w:lang w:val="en-GB"/>
        </w:rPr>
        <w:t xml:space="preserve">. Only </w:t>
      </w:r>
      <w:r w:rsidR="001E525A" w:rsidRPr="00D51EF4">
        <w:rPr>
          <w:lang w:val="en-GB"/>
        </w:rPr>
        <w:t>for</w:t>
      </w:r>
      <w:r w:rsidRPr="00D51EF4">
        <w:rPr>
          <w:lang w:val="en-GB"/>
        </w:rPr>
        <w:t xml:space="preserve"> earnings predictability do we document a statistically significant difference between the two types of organisations. </w:t>
      </w:r>
      <w:proofErr w:type="gramStart"/>
      <w:r w:rsidR="00D147E6" w:rsidRPr="00D51EF4">
        <w:rPr>
          <w:lang w:val="en-GB"/>
        </w:rPr>
        <w:t xml:space="preserve">One might </w:t>
      </w:r>
      <w:r w:rsidR="00B45438" w:rsidRPr="00D51EF4">
        <w:rPr>
          <w:lang w:val="en-GB"/>
        </w:rPr>
        <w:t>hypothesise</w:t>
      </w:r>
      <w:r w:rsidR="00D147E6" w:rsidRPr="00D51EF4">
        <w:rPr>
          <w:lang w:val="en-GB"/>
        </w:rPr>
        <w:t xml:space="preserve"> that the managers of for-profit organisations </w:t>
      </w:r>
      <w:r w:rsidR="001E525A" w:rsidRPr="00D51EF4">
        <w:rPr>
          <w:lang w:val="en-GB"/>
        </w:rPr>
        <w:t>likely face</w:t>
      </w:r>
      <w:r w:rsidR="00D147E6" w:rsidRPr="00D51EF4">
        <w:rPr>
          <w:lang w:val="en-GB"/>
        </w:rPr>
        <w:t xml:space="preserve"> greate</w:t>
      </w:r>
      <w:r w:rsidR="001E525A" w:rsidRPr="00D51EF4">
        <w:rPr>
          <w:lang w:val="en-GB"/>
        </w:rPr>
        <w:t>r</w:t>
      </w:r>
      <w:r w:rsidR="00D147E6" w:rsidRPr="00D51EF4">
        <w:rPr>
          <w:lang w:val="en-GB"/>
        </w:rPr>
        <w:t xml:space="preserve"> pressure to report satisfying financial results and often have more private incentives to influence the financial reporting process (for instance, management </w:t>
      </w:r>
      <w:r w:rsidR="001E525A" w:rsidRPr="00D51EF4">
        <w:rPr>
          <w:lang w:val="en-GB"/>
        </w:rPr>
        <w:t xml:space="preserve">may be </w:t>
      </w:r>
      <w:r w:rsidR="00D147E6" w:rsidRPr="00D51EF4">
        <w:rPr>
          <w:lang w:val="en-GB"/>
        </w:rPr>
        <w:t>compensat</w:t>
      </w:r>
      <w:r w:rsidR="001E525A" w:rsidRPr="00D51EF4">
        <w:rPr>
          <w:lang w:val="en-GB"/>
        </w:rPr>
        <w:t>ed</w:t>
      </w:r>
      <w:r w:rsidR="00D147E6" w:rsidRPr="00D51EF4">
        <w:rPr>
          <w:lang w:val="en-GB"/>
        </w:rPr>
        <w:t xml:space="preserve"> as a function of reported earnings, which is less common in </w:t>
      </w:r>
      <w:proofErr w:type="spellStart"/>
      <w:r w:rsidR="00D147E6" w:rsidRPr="00D51EF4">
        <w:rPr>
          <w:lang w:val="en-GB"/>
        </w:rPr>
        <w:t>nonprofit</w:t>
      </w:r>
      <w:proofErr w:type="spellEnd"/>
      <w:r w:rsidR="00D147E6" w:rsidRPr="00D51EF4">
        <w:rPr>
          <w:lang w:val="en-GB"/>
        </w:rPr>
        <w:t xml:space="preserve"> organisations because of their multiple objectives)</w:t>
      </w:r>
      <w:r w:rsidR="001E525A" w:rsidRPr="00D51EF4">
        <w:rPr>
          <w:lang w:val="en-GB"/>
        </w:rPr>
        <w:t>; these factors could</w:t>
      </w:r>
      <w:r w:rsidR="00D147E6" w:rsidRPr="00D51EF4">
        <w:rPr>
          <w:lang w:val="en-GB"/>
        </w:rPr>
        <w:t xml:space="preserve"> </w:t>
      </w:r>
      <w:r w:rsidR="001E525A" w:rsidRPr="00D51EF4">
        <w:rPr>
          <w:lang w:val="en-GB"/>
        </w:rPr>
        <w:t>cause</w:t>
      </w:r>
      <w:r w:rsidR="00D147E6" w:rsidRPr="00D51EF4">
        <w:rPr>
          <w:lang w:val="en-GB"/>
        </w:rPr>
        <w:t xml:space="preserve"> lower earnings quality in for-</w:t>
      </w:r>
      <w:r w:rsidR="00D147E6" w:rsidRPr="00D51EF4">
        <w:rPr>
          <w:lang w:val="en-GB"/>
        </w:rPr>
        <w:lastRenderedPageBreak/>
        <w:t xml:space="preserve">profit </w:t>
      </w:r>
      <w:r w:rsidR="001E525A" w:rsidRPr="00D51EF4">
        <w:rPr>
          <w:lang w:val="en-GB"/>
        </w:rPr>
        <w:t>organisations compared with</w:t>
      </w:r>
      <w:r w:rsidR="00D147E6" w:rsidRPr="00D51EF4">
        <w:rPr>
          <w:lang w:val="en-GB"/>
        </w:rPr>
        <w:t xml:space="preserve"> </w:t>
      </w:r>
      <w:proofErr w:type="spellStart"/>
      <w:r w:rsidR="00D147E6" w:rsidRPr="00D51EF4">
        <w:rPr>
          <w:lang w:val="en-GB"/>
        </w:rPr>
        <w:t>nonprofit</w:t>
      </w:r>
      <w:proofErr w:type="spellEnd"/>
      <w:r w:rsidR="00D147E6" w:rsidRPr="00D51EF4">
        <w:rPr>
          <w:lang w:val="en-GB"/>
        </w:rPr>
        <w:t xml:space="preserve"> organisations.</w:t>
      </w:r>
      <w:proofErr w:type="gramEnd"/>
      <w:r w:rsidR="00D147E6" w:rsidRPr="00D51EF4">
        <w:rPr>
          <w:lang w:val="en-GB"/>
        </w:rPr>
        <w:t xml:space="preserve"> However, </w:t>
      </w:r>
      <w:r w:rsidR="00431D90" w:rsidRPr="00D51EF4">
        <w:rPr>
          <w:lang w:val="en-GB"/>
        </w:rPr>
        <w:t xml:space="preserve">a </w:t>
      </w:r>
      <w:r w:rsidR="00D147E6" w:rsidRPr="00D51EF4">
        <w:rPr>
          <w:lang w:val="en-GB"/>
        </w:rPr>
        <w:t xml:space="preserve">larger demand for high-quality reporting and </w:t>
      </w:r>
      <w:r w:rsidR="00A53A66" w:rsidRPr="00D51EF4">
        <w:rPr>
          <w:lang w:val="en-GB"/>
        </w:rPr>
        <w:t>more advanced</w:t>
      </w:r>
      <w:r w:rsidR="00D147E6" w:rsidRPr="00D51EF4">
        <w:rPr>
          <w:lang w:val="en-GB"/>
        </w:rPr>
        <w:t xml:space="preserve"> governance mechanisms may </w:t>
      </w:r>
      <w:r w:rsidR="00431D90" w:rsidRPr="00D51EF4">
        <w:rPr>
          <w:lang w:val="en-GB"/>
        </w:rPr>
        <w:t xml:space="preserve">cause for-profit organisations to have </w:t>
      </w:r>
      <w:r w:rsidR="00E70F02">
        <w:rPr>
          <w:lang w:val="en-GB"/>
        </w:rPr>
        <w:t xml:space="preserve">higher </w:t>
      </w:r>
      <w:r w:rsidR="00D147E6" w:rsidRPr="00D51EF4">
        <w:rPr>
          <w:lang w:val="en-GB"/>
        </w:rPr>
        <w:t xml:space="preserve">earnings quality </w:t>
      </w:r>
      <w:r w:rsidR="00431D90" w:rsidRPr="00D51EF4">
        <w:rPr>
          <w:lang w:val="en-GB"/>
        </w:rPr>
        <w:t>than</w:t>
      </w:r>
      <w:r w:rsidR="00D147E6" w:rsidRPr="00D51EF4">
        <w:rPr>
          <w:lang w:val="en-GB"/>
        </w:rPr>
        <w:t xml:space="preserve"> </w:t>
      </w:r>
      <w:proofErr w:type="spellStart"/>
      <w:r w:rsidR="00D147E6" w:rsidRPr="00D51EF4">
        <w:rPr>
          <w:lang w:val="en-GB"/>
        </w:rPr>
        <w:t>nonprofit</w:t>
      </w:r>
      <w:proofErr w:type="spellEnd"/>
      <w:r w:rsidR="00D147E6" w:rsidRPr="00D51EF4">
        <w:rPr>
          <w:lang w:val="en-GB"/>
        </w:rPr>
        <w:t xml:space="preserve"> organisations. </w:t>
      </w:r>
      <w:r w:rsidR="00B760F2" w:rsidRPr="00D51EF4">
        <w:rPr>
          <w:lang w:val="en-GB"/>
        </w:rPr>
        <w:t xml:space="preserve">Thus, theoretically, </w:t>
      </w:r>
      <w:r w:rsidR="00127E2B" w:rsidRPr="00D51EF4">
        <w:rPr>
          <w:lang w:val="en-GB"/>
        </w:rPr>
        <w:t xml:space="preserve">different </w:t>
      </w:r>
      <w:r w:rsidR="00B760F2" w:rsidRPr="00D51EF4">
        <w:rPr>
          <w:lang w:val="en-GB"/>
        </w:rPr>
        <w:t xml:space="preserve">managerial incentives </w:t>
      </w:r>
      <w:r w:rsidR="00431D90" w:rsidRPr="00D51EF4">
        <w:rPr>
          <w:lang w:val="en-GB"/>
        </w:rPr>
        <w:t>can cause</w:t>
      </w:r>
      <w:r w:rsidR="00127E2B" w:rsidRPr="00D51EF4">
        <w:rPr>
          <w:lang w:val="en-GB"/>
        </w:rPr>
        <w:t xml:space="preserve"> </w:t>
      </w:r>
      <w:r w:rsidR="00B760F2" w:rsidRPr="00D51EF4">
        <w:rPr>
          <w:lang w:val="en-GB"/>
        </w:rPr>
        <w:t xml:space="preserve">earnings quality </w:t>
      </w:r>
      <w:r w:rsidR="00431D90" w:rsidRPr="00D51EF4">
        <w:rPr>
          <w:lang w:val="en-GB"/>
        </w:rPr>
        <w:t xml:space="preserve">to be </w:t>
      </w:r>
      <w:r w:rsidR="00ED5871" w:rsidRPr="00D51EF4">
        <w:rPr>
          <w:lang w:val="en-GB"/>
        </w:rPr>
        <w:t>both higher and lower in for-</w:t>
      </w:r>
      <w:r w:rsidR="00B760F2" w:rsidRPr="00D51EF4">
        <w:rPr>
          <w:lang w:val="en-GB"/>
        </w:rPr>
        <w:t xml:space="preserve">profit </w:t>
      </w:r>
      <w:r w:rsidR="00431D90" w:rsidRPr="00D51EF4">
        <w:rPr>
          <w:lang w:val="en-GB"/>
        </w:rPr>
        <w:t xml:space="preserve">organisations </w:t>
      </w:r>
      <w:r w:rsidR="00B760F2" w:rsidRPr="00D51EF4">
        <w:rPr>
          <w:lang w:val="en-GB"/>
        </w:rPr>
        <w:t xml:space="preserve">than in </w:t>
      </w:r>
      <w:proofErr w:type="spellStart"/>
      <w:r w:rsidR="00B760F2" w:rsidRPr="00D51EF4">
        <w:rPr>
          <w:lang w:val="en-GB"/>
        </w:rPr>
        <w:t>nonprofit</w:t>
      </w:r>
      <w:proofErr w:type="spellEnd"/>
      <w:r w:rsidR="00B760F2" w:rsidRPr="00D51EF4">
        <w:rPr>
          <w:lang w:val="en-GB"/>
        </w:rPr>
        <w:t xml:space="preserve"> organisations. </w:t>
      </w:r>
      <w:r w:rsidR="00B45438" w:rsidRPr="00D51EF4">
        <w:rPr>
          <w:lang w:val="en-GB"/>
        </w:rPr>
        <w:t>Our empirical evidence suggest</w:t>
      </w:r>
      <w:r w:rsidR="00431D90" w:rsidRPr="00D51EF4">
        <w:rPr>
          <w:lang w:val="en-GB"/>
        </w:rPr>
        <w:t>s</w:t>
      </w:r>
      <w:r w:rsidR="00B45438" w:rsidRPr="00D51EF4">
        <w:rPr>
          <w:lang w:val="en-GB"/>
        </w:rPr>
        <w:t xml:space="preserve"> that the theoretical hypotheses </w:t>
      </w:r>
      <w:r w:rsidR="00ED5871" w:rsidRPr="00D51EF4">
        <w:rPr>
          <w:lang w:val="en-GB"/>
        </w:rPr>
        <w:t>are not mutually exclusive</w:t>
      </w:r>
      <w:r w:rsidR="00431D90" w:rsidRPr="00D51EF4">
        <w:rPr>
          <w:lang w:val="en-GB"/>
        </w:rPr>
        <w:t>;</w:t>
      </w:r>
      <w:r w:rsidR="00ED5871" w:rsidRPr="00D51EF4">
        <w:rPr>
          <w:lang w:val="en-GB"/>
        </w:rPr>
        <w:t xml:space="preserve"> instead</w:t>
      </w:r>
      <w:r w:rsidR="00431D90" w:rsidRPr="00D51EF4">
        <w:rPr>
          <w:lang w:val="en-GB"/>
        </w:rPr>
        <w:t>,</w:t>
      </w:r>
      <w:r w:rsidR="00ED5871" w:rsidRPr="00D51EF4">
        <w:rPr>
          <w:lang w:val="en-GB"/>
        </w:rPr>
        <w:t xml:space="preserve"> several forces </w:t>
      </w:r>
      <w:r w:rsidR="00431D90" w:rsidRPr="00D51EF4">
        <w:rPr>
          <w:lang w:val="en-GB"/>
        </w:rPr>
        <w:t xml:space="preserve">that </w:t>
      </w:r>
      <w:r w:rsidR="00ED5871" w:rsidRPr="00D51EF4">
        <w:rPr>
          <w:lang w:val="en-GB"/>
        </w:rPr>
        <w:t>operat</w:t>
      </w:r>
      <w:r w:rsidR="00431D90" w:rsidRPr="00D51EF4">
        <w:rPr>
          <w:lang w:val="en-GB"/>
        </w:rPr>
        <w:t>e</w:t>
      </w:r>
      <w:r w:rsidR="00ED5871" w:rsidRPr="00D51EF4">
        <w:rPr>
          <w:lang w:val="en-GB"/>
        </w:rPr>
        <w:t xml:space="preserve"> in different directions </w:t>
      </w:r>
      <w:r w:rsidR="00B45438" w:rsidRPr="00D51EF4">
        <w:rPr>
          <w:lang w:val="en-GB"/>
        </w:rPr>
        <w:t>cancel each other</w:t>
      </w:r>
      <w:r w:rsidR="00431D90" w:rsidRPr="00D51EF4">
        <w:rPr>
          <w:lang w:val="en-GB"/>
        </w:rPr>
        <w:t xml:space="preserve"> and </w:t>
      </w:r>
      <w:r w:rsidR="00B45438" w:rsidRPr="00D51EF4">
        <w:rPr>
          <w:lang w:val="en-GB"/>
        </w:rPr>
        <w:t xml:space="preserve">thus </w:t>
      </w:r>
      <w:r w:rsidR="00431D90" w:rsidRPr="00D51EF4">
        <w:rPr>
          <w:lang w:val="en-GB"/>
        </w:rPr>
        <w:t>yield</w:t>
      </w:r>
      <w:r w:rsidR="00B45438" w:rsidRPr="00D51EF4">
        <w:rPr>
          <w:lang w:val="en-GB"/>
        </w:rPr>
        <w:t xml:space="preserve"> no or only minor differences in earnings quality</w:t>
      </w:r>
      <w:r w:rsidR="00431D90" w:rsidRPr="00D51EF4">
        <w:rPr>
          <w:lang w:val="en-GB"/>
        </w:rPr>
        <w:t>, on average,</w:t>
      </w:r>
      <w:r w:rsidR="00B45438" w:rsidRPr="00D51EF4">
        <w:rPr>
          <w:lang w:val="en-GB"/>
        </w:rPr>
        <w:t xml:space="preserve"> between for profit and </w:t>
      </w:r>
      <w:proofErr w:type="spellStart"/>
      <w:r w:rsidR="00B45438" w:rsidRPr="00D51EF4">
        <w:rPr>
          <w:lang w:val="en-GB"/>
        </w:rPr>
        <w:t>nonprofit</w:t>
      </w:r>
      <w:proofErr w:type="spellEnd"/>
      <w:r w:rsidR="00B45438" w:rsidRPr="00D51EF4">
        <w:rPr>
          <w:lang w:val="en-GB"/>
        </w:rPr>
        <w:t xml:space="preserve"> organisations</w:t>
      </w:r>
      <w:r w:rsidR="00E146EA" w:rsidRPr="00D51EF4">
        <w:rPr>
          <w:lang w:val="en-GB"/>
        </w:rPr>
        <w:t xml:space="preserve">. </w:t>
      </w:r>
    </w:p>
    <w:p w14:paraId="6C4CF9CB" w14:textId="77777777" w:rsidR="007F2711" w:rsidRPr="00D51EF4" w:rsidRDefault="007F2711" w:rsidP="00F65B35">
      <w:pPr>
        <w:spacing w:line="480" w:lineRule="auto"/>
        <w:jc w:val="both"/>
        <w:rPr>
          <w:lang w:val="en-GB"/>
        </w:rPr>
      </w:pPr>
    </w:p>
    <w:p w14:paraId="6017C141" w14:textId="458DDB07" w:rsidR="00B45438" w:rsidRPr="00D51EF4" w:rsidRDefault="00B45438" w:rsidP="00F65B35">
      <w:pPr>
        <w:spacing w:line="480" w:lineRule="auto"/>
        <w:jc w:val="both"/>
        <w:rPr>
          <w:lang w:val="en-GB"/>
        </w:rPr>
      </w:pPr>
      <w:r w:rsidRPr="00D51EF4">
        <w:rPr>
          <w:lang w:val="en-GB"/>
        </w:rPr>
        <w:t xml:space="preserve">Second, we document differences in the </w:t>
      </w:r>
      <w:proofErr w:type="spellStart"/>
      <w:r w:rsidRPr="00D51EF4">
        <w:rPr>
          <w:lang w:val="en-GB"/>
        </w:rPr>
        <w:t>nonprofit</w:t>
      </w:r>
      <w:proofErr w:type="spellEnd"/>
      <w:r w:rsidRPr="00D51EF4">
        <w:rPr>
          <w:lang w:val="en-GB"/>
        </w:rPr>
        <w:t xml:space="preserve"> sector </w:t>
      </w:r>
      <w:r w:rsidR="00431D90" w:rsidRPr="00D51EF4">
        <w:rPr>
          <w:lang w:val="en-GB"/>
        </w:rPr>
        <w:t xml:space="preserve">that </w:t>
      </w:r>
      <w:r w:rsidRPr="00D51EF4">
        <w:rPr>
          <w:lang w:val="en-GB"/>
        </w:rPr>
        <w:t>suggest that the</w:t>
      </w:r>
      <w:r w:rsidR="00431D90" w:rsidRPr="00D51EF4">
        <w:rPr>
          <w:lang w:val="en-GB"/>
        </w:rPr>
        <w:t xml:space="preserve"> </w:t>
      </w:r>
      <w:r w:rsidRPr="00D51EF4">
        <w:rPr>
          <w:lang w:val="en-GB"/>
        </w:rPr>
        <w:t>“</w:t>
      </w:r>
      <w:proofErr w:type="spellStart"/>
      <w:r w:rsidRPr="00D51EF4">
        <w:rPr>
          <w:lang w:val="en-GB"/>
        </w:rPr>
        <w:t>nonprofit</w:t>
      </w:r>
      <w:proofErr w:type="spellEnd"/>
      <w:r w:rsidRPr="00D51EF4">
        <w:rPr>
          <w:lang w:val="en-GB"/>
        </w:rPr>
        <w:t xml:space="preserve"> level of earnings quality”</w:t>
      </w:r>
      <w:r w:rsidR="00431D90" w:rsidRPr="00D51EF4">
        <w:rPr>
          <w:lang w:val="en-GB"/>
        </w:rPr>
        <w:t xml:space="preserve"> is an ill-defined concept</w:t>
      </w:r>
      <w:r w:rsidRPr="00D51EF4">
        <w:rPr>
          <w:lang w:val="en-GB"/>
        </w:rPr>
        <w:t xml:space="preserve">. </w:t>
      </w:r>
      <w:proofErr w:type="spellStart"/>
      <w:r w:rsidRPr="00D51EF4">
        <w:rPr>
          <w:lang w:val="en-GB"/>
        </w:rPr>
        <w:t>Nonprofit</w:t>
      </w:r>
      <w:proofErr w:type="spellEnd"/>
      <w:r w:rsidRPr="00D51EF4">
        <w:rPr>
          <w:lang w:val="en-GB"/>
        </w:rPr>
        <w:t xml:space="preserve"> organisations differ </w:t>
      </w:r>
      <w:r w:rsidR="00177A1F" w:rsidRPr="00D51EF4">
        <w:rPr>
          <w:lang w:val="en-GB"/>
        </w:rPr>
        <w:t>in their</w:t>
      </w:r>
      <w:r w:rsidRPr="00D51EF4">
        <w:rPr>
          <w:lang w:val="en-GB"/>
        </w:rPr>
        <w:t xml:space="preserve"> incorporation, governance and managerial incentives. When the </w:t>
      </w:r>
      <w:proofErr w:type="spellStart"/>
      <w:r w:rsidRPr="00D51EF4">
        <w:rPr>
          <w:lang w:val="en-GB"/>
        </w:rPr>
        <w:t>nonprofit</w:t>
      </w:r>
      <w:proofErr w:type="spellEnd"/>
      <w:r w:rsidRPr="00D51EF4">
        <w:rPr>
          <w:lang w:val="en-GB"/>
        </w:rPr>
        <w:t xml:space="preserve"> sample </w:t>
      </w:r>
      <w:proofErr w:type="gramStart"/>
      <w:r w:rsidRPr="00D51EF4">
        <w:rPr>
          <w:lang w:val="en-GB"/>
        </w:rPr>
        <w:t>is split</w:t>
      </w:r>
      <w:proofErr w:type="gramEnd"/>
      <w:r w:rsidRPr="00D51EF4">
        <w:rPr>
          <w:lang w:val="en-GB"/>
        </w:rPr>
        <w:t xml:space="preserve"> into non-governmental organisations (NGOs) and </w:t>
      </w:r>
      <w:r w:rsidR="00E87F2F" w:rsidRPr="00D51EF4">
        <w:rPr>
          <w:lang w:val="en-GB"/>
        </w:rPr>
        <w:t>member</w:t>
      </w:r>
      <w:r w:rsidR="00F95B0C" w:rsidRPr="00D51EF4">
        <w:rPr>
          <w:lang w:val="en-GB"/>
        </w:rPr>
        <w:t>-</w:t>
      </w:r>
      <w:r w:rsidR="00E87F2F" w:rsidRPr="00D51EF4">
        <w:rPr>
          <w:lang w:val="en-GB"/>
        </w:rPr>
        <w:t xml:space="preserve">based </w:t>
      </w:r>
      <w:r w:rsidRPr="00D51EF4">
        <w:rPr>
          <w:lang w:val="en-GB"/>
        </w:rPr>
        <w:t>cooperatives</w:t>
      </w:r>
      <w:r w:rsidR="00703A57" w:rsidRPr="00D51EF4">
        <w:rPr>
          <w:lang w:val="en-GB"/>
        </w:rPr>
        <w:t xml:space="preserve"> and </w:t>
      </w:r>
      <w:r w:rsidRPr="00D51EF4">
        <w:rPr>
          <w:lang w:val="en-GB"/>
        </w:rPr>
        <w:t xml:space="preserve">credit unions, we find </w:t>
      </w:r>
      <w:r w:rsidR="00703A57" w:rsidRPr="00D51EF4">
        <w:rPr>
          <w:lang w:val="en-GB"/>
        </w:rPr>
        <w:t xml:space="preserve">that the cooperatives and credit unions score </w:t>
      </w:r>
      <w:r w:rsidRPr="00D51EF4">
        <w:rPr>
          <w:lang w:val="en-GB"/>
        </w:rPr>
        <w:t>significantly higher on conventiona</w:t>
      </w:r>
      <w:r w:rsidR="00E146EA" w:rsidRPr="00D51EF4">
        <w:rPr>
          <w:lang w:val="en-GB"/>
        </w:rPr>
        <w:t>l earnings management metrics</w:t>
      </w:r>
      <w:r w:rsidR="00703A57" w:rsidRPr="00D51EF4">
        <w:rPr>
          <w:lang w:val="en-GB"/>
        </w:rPr>
        <w:t xml:space="preserve"> compared with the NGOs</w:t>
      </w:r>
      <w:r w:rsidRPr="00D51EF4">
        <w:rPr>
          <w:lang w:val="en-GB"/>
        </w:rPr>
        <w:t xml:space="preserve">. </w:t>
      </w:r>
      <w:r w:rsidR="00E66C55" w:rsidRPr="00D51EF4">
        <w:rPr>
          <w:lang w:val="en-GB"/>
        </w:rPr>
        <w:t>Thus, o</w:t>
      </w:r>
      <w:r w:rsidR="00A67D0A" w:rsidRPr="00D51EF4">
        <w:rPr>
          <w:lang w:val="en-GB"/>
        </w:rPr>
        <w:t xml:space="preserve">ur empirical results suggest that </w:t>
      </w:r>
      <w:proofErr w:type="gramStart"/>
      <w:r w:rsidR="00A67D0A" w:rsidRPr="00D51EF4">
        <w:rPr>
          <w:lang w:val="en-GB"/>
        </w:rPr>
        <w:t xml:space="preserve">the reported earnings for cooperatives </w:t>
      </w:r>
      <w:r w:rsidR="00E66C55" w:rsidRPr="00D51EF4">
        <w:rPr>
          <w:lang w:val="en-GB"/>
        </w:rPr>
        <w:t xml:space="preserve">and credit unions </w:t>
      </w:r>
      <w:r w:rsidR="00A67D0A" w:rsidRPr="00D51EF4">
        <w:rPr>
          <w:lang w:val="en-GB"/>
        </w:rPr>
        <w:t>may be contaminated by earnings manag</w:t>
      </w:r>
      <w:r w:rsidR="00E146EA" w:rsidRPr="00D51EF4">
        <w:rPr>
          <w:lang w:val="en-GB"/>
        </w:rPr>
        <w:t>e</w:t>
      </w:r>
      <w:r w:rsidR="00A67D0A" w:rsidRPr="00D51EF4">
        <w:rPr>
          <w:lang w:val="en-GB"/>
        </w:rPr>
        <w:t xml:space="preserve">ment, </w:t>
      </w:r>
      <w:r w:rsidR="00703A57" w:rsidRPr="00D51EF4">
        <w:rPr>
          <w:lang w:val="en-GB"/>
        </w:rPr>
        <w:t>which implies that these organisations have</w:t>
      </w:r>
      <w:r w:rsidR="00A67D0A" w:rsidRPr="00D51EF4">
        <w:rPr>
          <w:lang w:val="en-GB"/>
        </w:rPr>
        <w:t xml:space="preserve"> lower earnings quality</w:t>
      </w:r>
      <w:proofErr w:type="gramEnd"/>
      <w:r w:rsidR="00A67D0A" w:rsidRPr="00D51EF4">
        <w:rPr>
          <w:lang w:val="en-GB"/>
        </w:rPr>
        <w:t>. Th</w:t>
      </w:r>
      <w:r w:rsidR="00703A57" w:rsidRPr="00D51EF4">
        <w:rPr>
          <w:lang w:val="en-GB"/>
        </w:rPr>
        <w:t>is</w:t>
      </w:r>
      <w:r w:rsidR="00A67D0A" w:rsidRPr="00D51EF4">
        <w:rPr>
          <w:lang w:val="en-GB"/>
        </w:rPr>
        <w:t xml:space="preserve"> finding </w:t>
      </w:r>
      <w:proofErr w:type="gramStart"/>
      <w:r w:rsidR="00A67D0A" w:rsidRPr="00D51EF4">
        <w:rPr>
          <w:lang w:val="en-GB"/>
        </w:rPr>
        <w:t>may be attributed</w:t>
      </w:r>
      <w:proofErr w:type="gramEnd"/>
      <w:r w:rsidR="00A67D0A" w:rsidRPr="00D51EF4">
        <w:rPr>
          <w:lang w:val="en-GB"/>
        </w:rPr>
        <w:t xml:space="preserve"> to cooperatives’ preferences for reporting small but smooth profits</w:t>
      </w:r>
      <w:r w:rsidR="00ED5871" w:rsidRPr="00D51EF4">
        <w:rPr>
          <w:lang w:val="en-GB"/>
        </w:rPr>
        <w:t xml:space="preserve">, </w:t>
      </w:r>
      <w:r w:rsidR="00703A57" w:rsidRPr="00D51EF4">
        <w:rPr>
          <w:lang w:val="en-GB"/>
        </w:rPr>
        <w:t xml:space="preserve">which is </w:t>
      </w:r>
      <w:r w:rsidR="00ED5871" w:rsidRPr="00D51EF4">
        <w:rPr>
          <w:lang w:val="en-GB"/>
        </w:rPr>
        <w:t xml:space="preserve">possibly </w:t>
      </w:r>
      <w:r w:rsidR="00703A57" w:rsidRPr="00D51EF4">
        <w:rPr>
          <w:lang w:val="en-GB"/>
        </w:rPr>
        <w:t>caused by</w:t>
      </w:r>
      <w:r w:rsidR="00ED5871" w:rsidRPr="00D51EF4">
        <w:rPr>
          <w:lang w:val="en-GB"/>
        </w:rPr>
        <w:t xml:space="preserve"> </w:t>
      </w:r>
      <w:r w:rsidR="00E31B7E" w:rsidRPr="00D51EF4">
        <w:rPr>
          <w:lang w:val="en-GB"/>
        </w:rPr>
        <w:t xml:space="preserve">the </w:t>
      </w:r>
      <w:r w:rsidR="00ED5871" w:rsidRPr="00D51EF4">
        <w:rPr>
          <w:lang w:val="en-GB"/>
        </w:rPr>
        <w:t xml:space="preserve">distribution of </w:t>
      </w:r>
      <w:r w:rsidR="00AA3E8F" w:rsidRPr="00D51EF4">
        <w:rPr>
          <w:lang w:val="en-GB"/>
        </w:rPr>
        <w:t xml:space="preserve">surplus </w:t>
      </w:r>
      <w:r w:rsidR="00E31B7E" w:rsidRPr="00D51EF4">
        <w:rPr>
          <w:lang w:val="en-GB"/>
        </w:rPr>
        <w:t>among stakeholders (Perrileux et al. 2012)</w:t>
      </w:r>
      <w:r w:rsidR="00A67D0A" w:rsidRPr="00D51EF4">
        <w:rPr>
          <w:lang w:val="en-GB"/>
        </w:rPr>
        <w:t xml:space="preserve">. </w:t>
      </w:r>
      <w:proofErr w:type="gramStart"/>
      <w:r w:rsidR="00703A57" w:rsidRPr="00D51EF4">
        <w:rPr>
          <w:lang w:val="en-GB"/>
        </w:rPr>
        <w:t>Because</w:t>
      </w:r>
      <w:r w:rsidR="00A67D0A" w:rsidRPr="00D51EF4">
        <w:rPr>
          <w:lang w:val="en-GB"/>
        </w:rPr>
        <w:t xml:space="preserve"> earnings management is notoriously difficult to measu</w:t>
      </w:r>
      <w:r w:rsidR="00EA1F04" w:rsidRPr="00D51EF4">
        <w:rPr>
          <w:lang w:val="en-GB"/>
        </w:rPr>
        <w:t>r</w:t>
      </w:r>
      <w:r w:rsidR="00A67D0A" w:rsidRPr="00D51EF4">
        <w:rPr>
          <w:lang w:val="en-GB"/>
        </w:rPr>
        <w:t>e (</w:t>
      </w:r>
      <w:r w:rsidR="00412CE7" w:rsidRPr="00D51EF4">
        <w:rPr>
          <w:lang w:val="en-GB"/>
        </w:rPr>
        <w:t>Lang et al.</w:t>
      </w:r>
      <w:r w:rsidR="00ED5871" w:rsidRPr="00D51EF4">
        <w:rPr>
          <w:lang w:val="en-GB"/>
        </w:rPr>
        <w:t xml:space="preserve"> 2006</w:t>
      </w:r>
      <w:r w:rsidR="00A67D0A" w:rsidRPr="00D51EF4">
        <w:rPr>
          <w:lang w:val="en-GB"/>
        </w:rPr>
        <w:t>), the results should be interpreted with caution.</w:t>
      </w:r>
      <w:proofErr w:type="gramEnd"/>
      <w:r w:rsidR="00A67D0A" w:rsidRPr="00D51EF4">
        <w:rPr>
          <w:lang w:val="en-GB"/>
        </w:rPr>
        <w:t xml:space="preserve"> However, the r</w:t>
      </w:r>
      <w:r w:rsidR="00E31B7E" w:rsidRPr="00D51EF4">
        <w:rPr>
          <w:lang w:val="en-GB"/>
        </w:rPr>
        <w:t>esults illustrate</w:t>
      </w:r>
      <w:r w:rsidR="00A67D0A" w:rsidRPr="00D51EF4">
        <w:rPr>
          <w:lang w:val="en-GB"/>
        </w:rPr>
        <w:t xml:space="preserve"> the need to differentiate </w:t>
      </w:r>
      <w:r w:rsidR="00703A57" w:rsidRPr="00D51EF4">
        <w:rPr>
          <w:lang w:val="en-GB"/>
        </w:rPr>
        <w:t xml:space="preserve">among </w:t>
      </w:r>
      <w:r w:rsidR="00E70F02">
        <w:rPr>
          <w:lang w:val="en-GB"/>
        </w:rPr>
        <w:t>groups</w:t>
      </w:r>
      <w:r w:rsidR="000F7962">
        <w:rPr>
          <w:lang w:val="en-GB"/>
        </w:rPr>
        <w:t xml:space="preserve"> of the </w:t>
      </w:r>
      <w:proofErr w:type="spellStart"/>
      <w:r w:rsidR="000F7962">
        <w:rPr>
          <w:lang w:val="en-GB"/>
        </w:rPr>
        <w:t>non</w:t>
      </w:r>
      <w:r w:rsidR="00703A57" w:rsidRPr="00D51EF4">
        <w:rPr>
          <w:lang w:val="en-GB"/>
        </w:rPr>
        <w:t>profit</w:t>
      </w:r>
      <w:proofErr w:type="spellEnd"/>
      <w:r w:rsidR="00703A57" w:rsidRPr="00D51EF4">
        <w:rPr>
          <w:lang w:val="en-GB"/>
        </w:rPr>
        <w:t xml:space="preserve"> sector when performing </w:t>
      </w:r>
      <w:r w:rsidR="00A67D0A" w:rsidRPr="00D51EF4">
        <w:rPr>
          <w:lang w:val="en-GB"/>
        </w:rPr>
        <w:t xml:space="preserve">accounting quality research. </w:t>
      </w:r>
    </w:p>
    <w:p w14:paraId="0A5DC9BC" w14:textId="77777777" w:rsidR="00921015" w:rsidRPr="00D51EF4" w:rsidRDefault="00921015" w:rsidP="00F65B35">
      <w:pPr>
        <w:spacing w:line="480" w:lineRule="auto"/>
        <w:jc w:val="both"/>
        <w:rPr>
          <w:lang w:val="en-GB"/>
        </w:rPr>
      </w:pPr>
    </w:p>
    <w:p w14:paraId="4B10F315" w14:textId="77777777" w:rsidR="00921015" w:rsidRPr="00D51EF4" w:rsidRDefault="00921015" w:rsidP="00F65B35">
      <w:pPr>
        <w:spacing w:line="480" w:lineRule="auto"/>
        <w:jc w:val="both"/>
        <w:rPr>
          <w:lang w:val="en-GB"/>
        </w:rPr>
      </w:pPr>
      <w:r w:rsidRPr="00D51EF4">
        <w:rPr>
          <w:lang w:val="en-GB"/>
        </w:rPr>
        <w:lastRenderedPageBreak/>
        <w:t>This paper is organi</w:t>
      </w:r>
      <w:r w:rsidR="00D411BD" w:rsidRPr="00D51EF4">
        <w:rPr>
          <w:lang w:val="en-GB"/>
        </w:rPr>
        <w:t>s</w:t>
      </w:r>
      <w:r w:rsidRPr="00D51EF4">
        <w:rPr>
          <w:lang w:val="en-GB"/>
        </w:rPr>
        <w:t>ed as follows</w:t>
      </w:r>
      <w:r w:rsidR="006548D2" w:rsidRPr="00D51EF4">
        <w:rPr>
          <w:lang w:val="en-GB"/>
        </w:rPr>
        <w:t>.</w:t>
      </w:r>
      <w:r w:rsidRPr="00D51EF4">
        <w:rPr>
          <w:lang w:val="en-GB"/>
        </w:rPr>
        <w:t xml:space="preserve"> </w:t>
      </w:r>
      <w:r w:rsidR="00820F31" w:rsidRPr="00D51EF4">
        <w:rPr>
          <w:lang w:val="en-GB"/>
        </w:rPr>
        <w:t xml:space="preserve">Section 2 discusses relevant prior research and outlines the research design. Section 3 describes the data sample, and Section 4 presents the empirical findings of the analyses. Section 5 concludes. </w:t>
      </w:r>
    </w:p>
    <w:p w14:paraId="644A58E6" w14:textId="77777777" w:rsidR="0093659A" w:rsidRPr="00D51EF4" w:rsidRDefault="0093659A" w:rsidP="00F65B35">
      <w:pPr>
        <w:spacing w:line="480" w:lineRule="auto"/>
        <w:jc w:val="both"/>
        <w:rPr>
          <w:lang w:val="en-GB"/>
        </w:rPr>
      </w:pPr>
    </w:p>
    <w:p w14:paraId="13415B74" w14:textId="77777777" w:rsidR="0093659A" w:rsidRPr="00D51EF4" w:rsidRDefault="0093659A" w:rsidP="00F65B35">
      <w:pPr>
        <w:spacing w:line="480" w:lineRule="auto"/>
        <w:jc w:val="both"/>
        <w:rPr>
          <w:b/>
          <w:lang w:val="en-GB"/>
        </w:rPr>
      </w:pPr>
      <w:r w:rsidRPr="00D51EF4">
        <w:rPr>
          <w:b/>
          <w:lang w:val="en-GB"/>
        </w:rPr>
        <w:t xml:space="preserve">2. </w:t>
      </w:r>
      <w:r w:rsidR="00F86418" w:rsidRPr="00D51EF4">
        <w:rPr>
          <w:b/>
          <w:lang w:val="en-GB"/>
        </w:rPr>
        <w:t>Theoretical Background and Research Design</w:t>
      </w:r>
    </w:p>
    <w:p w14:paraId="4D5E3A32" w14:textId="77777777" w:rsidR="00F86418" w:rsidRPr="00D51EF4" w:rsidRDefault="00F86418" w:rsidP="00F65B35">
      <w:pPr>
        <w:spacing w:line="480" w:lineRule="auto"/>
        <w:jc w:val="both"/>
        <w:rPr>
          <w:i/>
          <w:lang w:val="en-GB"/>
        </w:rPr>
      </w:pPr>
      <w:r w:rsidRPr="00D51EF4">
        <w:rPr>
          <w:i/>
          <w:lang w:val="en-GB"/>
        </w:rPr>
        <w:t>2.1. Prior Research</w:t>
      </w:r>
    </w:p>
    <w:p w14:paraId="32EB6DD3" w14:textId="34D060DB" w:rsidR="0093659A" w:rsidRPr="00D51EF4" w:rsidRDefault="0093659A" w:rsidP="00F65B35">
      <w:pPr>
        <w:spacing w:line="480" w:lineRule="auto"/>
        <w:jc w:val="both"/>
        <w:rPr>
          <w:lang w:val="en-GB"/>
        </w:rPr>
      </w:pPr>
      <w:proofErr w:type="gramStart"/>
      <w:r w:rsidRPr="00D51EF4">
        <w:rPr>
          <w:lang w:val="en-GB"/>
        </w:rPr>
        <w:t>Melumad and Nissim (2008) state</w:t>
      </w:r>
      <w:r w:rsidR="006548D2" w:rsidRPr="00D51EF4">
        <w:rPr>
          <w:lang w:val="en-GB"/>
        </w:rPr>
        <w:t xml:space="preserve">, </w:t>
      </w:r>
      <w:r w:rsidRPr="00D51EF4">
        <w:rPr>
          <w:lang w:val="en-GB"/>
        </w:rPr>
        <w:t>“</w:t>
      </w:r>
      <w:r w:rsidR="006548D2" w:rsidRPr="00D51EF4">
        <w:rPr>
          <w:lang w:val="en-GB"/>
        </w:rPr>
        <w:t>E</w:t>
      </w:r>
      <w:r w:rsidRPr="00D51EF4">
        <w:rPr>
          <w:lang w:val="en-GB"/>
        </w:rPr>
        <w:t>arnings are of high quality if they are representative of long term earning ability” (p. 91).</w:t>
      </w:r>
      <w:proofErr w:type="gramEnd"/>
      <w:r w:rsidRPr="00D51EF4">
        <w:rPr>
          <w:lang w:val="en-GB"/>
        </w:rPr>
        <w:t xml:space="preserve"> </w:t>
      </w:r>
      <w:r w:rsidR="00832B08" w:rsidRPr="00D51EF4">
        <w:rPr>
          <w:lang w:val="en-GB"/>
        </w:rPr>
        <w:t>According</w:t>
      </w:r>
      <w:r w:rsidR="00D027BF" w:rsidRPr="00D51EF4">
        <w:rPr>
          <w:lang w:val="en-GB"/>
        </w:rPr>
        <w:t xml:space="preserve"> to Dechow et al. (2010)</w:t>
      </w:r>
      <w:r w:rsidR="005602FC" w:rsidRPr="00D51EF4">
        <w:rPr>
          <w:lang w:val="en-GB"/>
        </w:rPr>
        <w:t>,</w:t>
      </w:r>
      <w:r w:rsidR="00D027BF" w:rsidRPr="00D51EF4">
        <w:rPr>
          <w:lang w:val="en-GB"/>
        </w:rPr>
        <w:t xml:space="preserve"> high</w:t>
      </w:r>
      <w:r w:rsidR="005602FC" w:rsidRPr="00D51EF4">
        <w:rPr>
          <w:lang w:val="en-GB"/>
        </w:rPr>
        <w:t>-</w:t>
      </w:r>
      <w:r w:rsidR="00D027BF" w:rsidRPr="00D51EF4">
        <w:rPr>
          <w:lang w:val="en-GB"/>
        </w:rPr>
        <w:t xml:space="preserve">quality earnings provide financial performance information </w:t>
      </w:r>
      <w:r w:rsidR="005602FC" w:rsidRPr="00D51EF4">
        <w:rPr>
          <w:lang w:val="en-GB"/>
        </w:rPr>
        <w:t xml:space="preserve">that is more useful for </w:t>
      </w:r>
      <w:r w:rsidR="00D027BF" w:rsidRPr="00D51EF4">
        <w:rPr>
          <w:lang w:val="en-GB"/>
        </w:rPr>
        <w:t>decision</w:t>
      </w:r>
      <w:r w:rsidR="005602FC" w:rsidRPr="00D51EF4">
        <w:rPr>
          <w:lang w:val="en-GB"/>
        </w:rPr>
        <w:t>-making</w:t>
      </w:r>
      <w:r w:rsidR="00D027BF" w:rsidRPr="00D51EF4">
        <w:rPr>
          <w:lang w:val="en-GB"/>
        </w:rPr>
        <w:t xml:space="preserve">. </w:t>
      </w:r>
      <w:r w:rsidRPr="00D51EF4">
        <w:rPr>
          <w:lang w:val="en-GB"/>
        </w:rPr>
        <w:t xml:space="preserve">Prior research has </w:t>
      </w:r>
      <w:r w:rsidR="005602FC" w:rsidRPr="00D51EF4">
        <w:rPr>
          <w:lang w:val="en-GB"/>
        </w:rPr>
        <w:t xml:space="preserve">demonstrated </w:t>
      </w:r>
      <w:r w:rsidRPr="00D51EF4">
        <w:rPr>
          <w:lang w:val="en-GB"/>
        </w:rPr>
        <w:t xml:space="preserve">that earnings quality </w:t>
      </w:r>
      <w:r w:rsidR="006548D2" w:rsidRPr="00D51EF4">
        <w:rPr>
          <w:lang w:val="en-GB"/>
        </w:rPr>
        <w:t xml:space="preserve">is </w:t>
      </w:r>
      <w:r w:rsidRPr="00D51EF4">
        <w:rPr>
          <w:lang w:val="en-GB"/>
        </w:rPr>
        <w:t>important to the stakeholders of an organi</w:t>
      </w:r>
      <w:r w:rsidR="00D411BD" w:rsidRPr="00D51EF4">
        <w:rPr>
          <w:lang w:val="en-GB"/>
        </w:rPr>
        <w:t>s</w:t>
      </w:r>
      <w:r w:rsidRPr="00D51EF4">
        <w:rPr>
          <w:lang w:val="en-GB"/>
        </w:rPr>
        <w:t>ation. For instance, Francis et al. (2004) document that earnings quality is associated</w:t>
      </w:r>
      <w:r w:rsidR="00A55B17" w:rsidRPr="00D51EF4">
        <w:rPr>
          <w:lang w:val="en-GB"/>
        </w:rPr>
        <w:t xml:space="preserve"> with</w:t>
      </w:r>
      <w:r w:rsidR="006548D2" w:rsidRPr="00D51EF4">
        <w:rPr>
          <w:lang w:val="en-GB"/>
        </w:rPr>
        <w:t xml:space="preserve"> a</w:t>
      </w:r>
      <w:r w:rsidR="00A55B17" w:rsidRPr="00D51EF4">
        <w:rPr>
          <w:lang w:val="en-GB"/>
        </w:rPr>
        <w:t xml:space="preserve"> lower cost of capital (cf</w:t>
      </w:r>
      <w:r w:rsidRPr="00D51EF4">
        <w:rPr>
          <w:lang w:val="en-GB"/>
        </w:rPr>
        <w:t xml:space="preserve">. Michelson et al. 2000). </w:t>
      </w:r>
      <w:r w:rsidR="00A91322" w:rsidRPr="00D51EF4">
        <w:rPr>
          <w:lang w:val="en-GB"/>
        </w:rPr>
        <w:t xml:space="preserve">This finding </w:t>
      </w:r>
      <w:proofErr w:type="gramStart"/>
      <w:r w:rsidR="00A91322" w:rsidRPr="00D51EF4">
        <w:rPr>
          <w:lang w:val="en-GB"/>
        </w:rPr>
        <w:t>can be attributed</w:t>
      </w:r>
      <w:proofErr w:type="gramEnd"/>
      <w:r w:rsidR="00A91322" w:rsidRPr="00D51EF4">
        <w:rPr>
          <w:lang w:val="en-GB"/>
        </w:rPr>
        <w:t xml:space="preserve"> to </w:t>
      </w:r>
      <w:r w:rsidR="0017386A" w:rsidRPr="00D51EF4">
        <w:rPr>
          <w:lang w:val="en-GB"/>
        </w:rPr>
        <w:t xml:space="preserve">the fact that </w:t>
      </w:r>
      <w:r w:rsidR="00A91322" w:rsidRPr="00D51EF4">
        <w:rPr>
          <w:lang w:val="en-GB"/>
        </w:rPr>
        <w:t>m</w:t>
      </w:r>
      <w:r w:rsidRPr="00D51EF4">
        <w:rPr>
          <w:lang w:val="en-GB"/>
        </w:rPr>
        <w:t>ore trustworth</w:t>
      </w:r>
      <w:r w:rsidR="00A91322" w:rsidRPr="00D51EF4">
        <w:rPr>
          <w:lang w:val="en-GB"/>
        </w:rPr>
        <w:t xml:space="preserve">y accounting information </w:t>
      </w:r>
      <w:r w:rsidR="00F8317F" w:rsidRPr="00D51EF4">
        <w:rPr>
          <w:lang w:val="en-GB"/>
        </w:rPr>
        <w:t>r</w:t>
      </w:r>
      <w:r w:rsidR="0017386A" w:rsidRPr="00D51EF4">
        <w:rPr>
          <w:lang w:val="en-GB"/>
        </w:rPr>
        <w:t>educe</w:t>
      </w:r>
      <w:r w:rsidR="004F7ED8" w:rsidRPr="00D51EF4">
        <w:rPr>
          <w:lang w:val="en-GB"/>
        </w:rPr>
        <w:t>s</w:t>
      </w:r>
      <w:r w:rsidRPr="00D51EF4">
        <w:rPr>
          <w:lang w:val="en-GB"/>
        </w:rPr>
        <w:t xml:space="preserve"> investors’ information risk. </w:t>
      </w:r>
      <w:r w:rsidR="005602FC" w:rsidRPr="00D51EF4">
        <w:rPr>
          <w:lang w:val="en-GB"/>
        </w:rPr>
        <w:t>A f</w:t>
      </w:r>
      <w:r w:rsidRPr="00D51EF4">
        <w:rPr>
          <w:lang w:val="en-GB"/>
        </w:rPr>
        <w:t>irm</w:t>
      </w:r>
      <w:r w:rsidR="005602FC" w:rsidRPr="00D51EF4">
        <w:rPr>
          <w:lang w:val="en-GB"/>
        </w:rPr>
        <w:t>’s</w:t>
      </w:r>
      <w:r w:rsidRPr="00D51EF4">
        <w:rPr>
          <w:lang w:val="en-GB"/>
        </w:rPr>
        <w:t xml:space="preserve"> value is the present value of </w:t>
      </w:r>
      <w:r w:rsidR="005602FC" w:rsidRPr="00D51EF4">
        <w:rPr>
          <w:lang w:val="en-GB"/>
        </w:rPr>
        <w:t xml:space="preserve">its </w:t>
      </w:r>
      <w:r w:rsidRPr="00D51EF4">
        <w:rPr>
          <w:lang w:val="en-GB"/>
        </w:rPr>
        <w:t>future cash flows</w:t>
      </w:r>
      <w:r w:rsidR="005602FC" w:rsidRPr="00D51EF4">
        <w:rPr>
          <w:lang w:val="en-GB"/>
        </w:rPr>
        <w:t>; thus,</w:t>
      </w:r>
      <w:r w:rsidRPr="00D51EF4">
        <w:rPr>
          <w:lang w:val="en-GB"/>
        </w:rPr>
        <w:t xml:space="preserve"> earnings numbers reduce investors’ information risk if they </w:t>
      </w:r>
      <w:r w:rsidR="005602FC" w:rsidRPr="00D51EF4">
        <w:rPr>
          <w:lang w:val="en-GB"/>
        </w:rPr>
        <w:t xml:space="preserve">accurately </w:t>
      </w:r>
      <w:r w:rsidRPr="00D51EF4">
        <w:rPr>
          <w:lang w:val="en-GB"/>
        </w:rPr>
        <w:t>reflect the current and future cash flow</w:t>
      </w:r>
      <w:r w:rsidR="006548D2" w:rsidRPr="00D51EF4">
        <w:rPr>
          <w:lang w:val="en-GB"/>
        </w:rPr>
        <w:t>-</w:t>
      </w:r>
      <w:r w:rsidRPr="00D51EF4">
        <w:rPr>
          <w:lang w:val="en-GB"/>
        </w:rPr>
        <w:t>generating capabilities of a firm (</w:t>
      </w:r>
      <w:r w:rsidR="003A21BB" w:rsidRPr="003A21BB">
        <w:rPr>
          <w:lang w:val="en-GB"/>
        </w:rPr>
        <w:t>Beisland and Mersland 2013</w:t>
      </w:r>
      <w:r w:rsidRPr="00D51EF4">
        <w:rPr>
          <w:lang w:val="en-GB"/>
        </w:rPr>
        <w:t>). Earnings quality is also important to debt</w:t>
      </w:r>
      <w:r w:rsidR="005602FC" w:rsidRPr="00D51EF4">
        <w:rPr>
          <w:lang w:val="en-GB"/>
        </w:rPr>
        <w:t xml:space="preserve"> </w:t>
      </w:r>
      <w:r w:rsidRPr="00D51EF4">
        <w:rPr>
          <w:lang w:val="en-GB"/>
        </w:rPr>
        <w:t>holders (Crabtree and Maher 2005) and, in general, to all parties that use accounting information for contracting purposes (</w:t>
      </w:r>
      <w:r w:rsidR="00A91322" w:rsidRPr="00D51EF4">
        <w:rPr>
          <w:lang w:val="en-GB"/>
        </w:rPr>
        <w:t xml:space="preserve">cf. </w:t>
      </w:r>
      <w:r w:rsidRPr="00D51EF4">
        <w:rPr>
          <w:lang w:val="en-GB"/>
        </w:rPr>
        <w:t>Schipper and Vincent 2003</w:t>
      </w:r>
      <w:r w:rsidR="00122C65" w:rsidRPr="00D51EF4">
        <w:rPr>
          <w:lang w:val="en-GB"/>
        </w:rPr>
        <w:t>; Dechow et al. 2010</w:t>
      </w:r>
      <w:r w:rsidRPr="00D51EF4">
        <w:rPr>
          <w:lang w:val="en-GB"/>
        </w:rPr>
        <w:t>)</w:t>
      </w:r>
      <w:r w:rsidR="00F607C4" w:rsidRPr="00D51EF4">
        <w:rPr>
          <w:lang w:val="en-GB"/>
        </w:rPr>
        <w:t>, including donors</w:t>
      </w:r>
      <w:r w:rsidRPr="00D51EF4">
        <w:rPr>
          <w:lang w:val="en-GB"/>
        </w:rPr>
        <w:t xml:space="preserve">. </w:t>
      </w:r>
    </w:p>
    <w:p w14:paraId="0CE11371" w14:textId="77777777" w:rsidR="00310956" w:rsidRPr="00D51EF4" w:rsidRDefault="00310956" w:rsidP="00F65B35">
      <w:pPr>
        <w:spacing w:line="480" w:lineRule="auto"/>
        <w:jc w:val="both"/>
        <w:rPr>
          <w:lang w:val="en-GB"/>
        </w:rPr>
      </w:pPr>
    </w:p>
    <w:p w14:paraId="31B39D16" w14:textId="7786B6A7" w:rsidR="006E51D7" w:rsidRPr="00D51EF4" w:rsidRDefault="00310956" w:rsidP="00F65B35">
      <w:pPr>
        <w:spacing w:line="480" w:lineRule="auto"/>
        <w:jc w:val="both"/>
        <w:rPr>
          <w:lang w:val="en-GB"/>
        </w:rPr>
      </w:pPr>
      <w:r w:rsidRPr="00D51EF4">
        <w:rPr>
          <w:lang w:val="en-GB"/>
        </w:rPr>
        <w:t xml:space="preserve">Earnings quality </w:t>
      </w:r>
      <w:proofErr w:type="gramStart"/>
      <w:r w:rsidRPr="00D51EF4">
        <w:rPr>
          <w:lang w:val="en-GB"/>
        </w:rPr>
        <w:t>is typically measured</w:t>
      </w:r>
      <w:proofErr w:type="gramEnd"/>
      <w:r w:rsidRPr="00D51EF4">
        <w:rPr>
          <w:lang w:val="en-GB"/>
        </w:rPr>
        <w:t xml:space="preserve"> </w:t>
      </w:r>
      <w:r w:rsidR="006548D2" w:rsidRPr="00D51EF4">
        <w:rPr>
          <w:lang w:val="en-GB"/>
        </w:rPr>
        <w:t>by</w:t>
      </w:r>
      <w:r w:rsidRPr="00D51EF4">
        <w:rPr>
          <w:lang w:val="en-GB"/>
        </w:rPr>
        <w:t xml:space="preserve"> </w:t>
      </w:r>
      <w:r w:rsidR="00A95CF0">
        <w:rPr>
          <w:lang w:val="en-GB"/>
        </w:rPr>
        <w:t>score</w:t>
      </w:r>
      <w:r w:rsidR="00A67A09">
        <w:rPr>
          <w:lang w:val="en-GB"/>
        </w:rPr>
        <w:t>s</w:t>
      </w:r>
      <w:r w:rsidR="00A95CF0">
        <w:rPr>
          <w:lang w:val="en-GB"/>
        </w:rPr>
        <w:t xml:space="preserve"> on various</w:t>
      </w:r>
      <w:r w:rsidRPr="00D51EF4">
        <w:rPr>
          <w:lang w:val="en-GB"/>
        </w:rPr>
        <w:t xml:space="preserve"> earnings attributes</w:t>
      </w:r>
      <w:r w:rsidR="00762987" w:rsidRPr="00D51EF4">
        <w:rPr>
          <w:lang w:val="en-GB"/>
        </w:rPr>
        <w:t xml:space="preserve"> (cf. Dechow et al. 2010)</w:t>
      </w:r>
      <w:r w:rsidRPr="00D51EF4">
        <w:rPr>
          <w:lang w:val="en-GB"/>
        </w:rPr>
        <w:t xml:space="preserve">. </w:t>
      </w:r>
      <w:r w:rsidR="006548D2" w:rsidRPr="00D51EF4">
        <w:rPr>
          <w:lang w:val="en-GB"/>
        </w:rPr>
        <w:t>Because</w:t>
      </w:r>
      <w:r w:rsidRPr="00D51EF4">
        <w:rPr>
          <w:lang w:val="en-GB"/>
        </w:rPr>
        <w:t xml:space="preserve"> earnings quality typically cannot be summari</w:t>
      </w:r>
      <w:r w:rsidR="00D411BD" w:rsidRPr="00D51EF4">
        <w:rPr>
          <w:lang w:val="en-GB"/>
        </w:rPr>
        <w:t>s</w:t>
      </w:r>
      <w:r w:rsidRPr="00D51EF4">
        <w:rPr>
          <w:lang w:val="en-GB"/>
        </w:rPr>
        <w:t>ed into one composite score</w:t>
      </w:r>
      <w:r w:rsidR="00ED5E11" w:rsidRPr="00D51EF4">
        <w:rPr>
          <w:lang w:val="en-GB"/>
        </w:rPr>
        <w:t xml:space="preserve">, several metrics </w:t>
      </w:r>
      <w:proofErr w:type="gramStart"/>
      <w:r w:rsidR="00ED5E11" w:rsidRPr="00D51EF4">
        <w:rPr>
          <w:lang w:val="en-GB"/>
        </w:rPr>
        <w:t>are applied</w:t>
      </w:r>
      <w:proofErr w:type="gramEnd"/>
      <w:r w:rsidR="00ED5E11" w:rsidRPr="00D51EF4">
        <w:rPr>
          <w:lang w:val="en-GB"/>
        </w:rPr>
        <w:t xml:space="preserve"> to examine the various dimensions of the concept.</w:t>
      </w:r>
      <w:r w:rsidRPr="00D51EF4">
        <w:rPr>
          <w:lang w:val="en-GB"/>
        </w:rPr>
        <w:t xml:space="preserve"> Francis et al. (2004) investigate earnings quality </w:t>
      </w:r>
      <w:r w:rsidR="008C407B" w:rsidRPr="00D51EF4">
        <w:rPr>
          <w:lang w:val="en-GB"/>
        </w:rPr>
        <w:t xml:space="preserve">using </w:t>
      </w:r>
      <w:r w:rsidRPr="00D51EF4">
        <w:rPr>
          <w:lang w:val="en-GB"/>
        </w:rPr>
        <w:t xml:space="preserve">the following attributes: accrual quality, persistence, predictability, smoothness, value relevance, and timeliness and conservatism. Accrual quality, </w:t>
      </w:r>
      <w:r w:rsidRPr="00D51EF4">
        <w:rPr>
          <w:lang w:val="en-GB"/>
        </w:rPr>
        <w:lastRenderedPageBreak/>
        <w:t>persistence, predictability</w:t>
      </w:r>
      <w:r w:rsidR="00B07424" w:rsidRPr="00D51EF4">
        <w:rPr>
          <w:lang w:val="en-GB"/>
        </w:rPr>
        <w:t>,</w:t>
      </w:r>
      <w:r w:rsidRPr="00D51EF4">
        <w:rPr>
          <w:lang w:val="en-GB"/>
        </w:rPr>
        <w:t xml:space="preserve"> and smoothness </w:t>
      </w:r>
      <w:r w:rsidR="008C407B" w:rsidRPr="00D51EF4">
        <w:rPr>
          <w:lang w:val="en-GB"/>
        </w:rPr>
        <w:t>are</w:t>
      </w:r>
      <w:r w:rsidR="006548D2" w:rsidRPr="00D51EF4">
        <w:rPr>
          <w:lang w:val="en-GB"/>
        </w:rPr>
        <w:t xml:space="preserve"> </w:t>
      </w:r>
      <w:r w:rsidRPr="00D51EF4">
        <w:rPr>
          <w:lang w:val="en-GB"/>
        </w:rPr>
        <w:t>accounting</w:t>
      </w:r>
      <w:r w:rsidR="006548D2" w:rsidRPr="00D51EF4">
        <w:rPr>
          <w:lang w:val="en-GB"/>
        </w:rPr>
        <w:t>-</w:t>
      </w:r>
      <w:r w:rsidRPr="00D51EF4">
        <w:rPr>
          <w:lang w:val="en-GB"/>
        </w:rPr>
        <w:t xml:space="preserve">based earnings attributes, whereas value relevance and timeliness </w:t>
      </w:r>
      <w:r w:rsidR="008C407B" w:rsidRPr="00D51EF4">
        <w:rPr>
          <w:lang w:val="en-GB"/>
        </w:rPr>
        <w:t>are</w:t>
      </w:r>
      <w:r w:rsidRPr="00D51EF4">
        <w:rPr>
          <w:lang w:val="en-GB"/>
        </w:rPr>
        <w:t xml:space="preserve"> marke</w:t>
      </w:r>
      <w:r w:rsidR="006548D2" w:rsidRPr="00D51EF4">
        <w:rPr>
          <w:lang w:val="en-GB"/>
        </w:rPr>
        <w:t>t-</w:t>
      </w:r>
      <w:r w:rsidRPr="00D51EF4">
        <w:rPr>
          <w:lang w:val="en-GB"/>
        </w:rPr>
        <w:t xml:space="preserve">based attributes. </w:t>
      </w:r>
    </w:p>
    <w:p w14:paraId="529E0FF6" w14:textId="77777777" w:rsidR="006E51D7" w:rsidRPr="00D51EF4" w:rsidRDefault="006E51D7" w:rsidP="00F65B35">
      <w:pPr>
        <w:spacing w:line="480" w:lineRule="auto"/>
        <w:jc w:val="both"/>
        <w:rPr>
          <w:lang w:val="en-GB"/>
        </w:rPr>
      </w:pPr>
    </w:p>
    <w:p w14:paraId="14D72856" w14:textId="05C4D3CE" w:rsidR="00310956" w:rsidRPr="00D51EF4" w:rsidRDefault="00310956" w:rsidP="00F65B35">
      <w:pPr>
        <w:spacing w:line="480" w:lineRule="auto"/>
        <w:jc w:val="both"/>
        <w:rPr>
          <w:lang w:val="en-GB"/>
        </w:rPr>
      </w:pPr>
      <w:r w:rsidRPr="00D51EF4">
        <w:rPr>
          <w:lang w:val="en-GB"/>
        </w:rPr>
        <w:t>There is no unique definition of earnings quality (Ben-</w:t>
      </w:r>
      <w:proofErr w:type="spellStart"/>
      <w:r w:rsidRPr="00D51EF4">
        <w:rPr>
          <w:lang w:val="en-GB"/>
        </w:rPr>
        <w:t>Hsien</w:t>
      </w:r>
      <w:proofErr w:type="spellEnd"/>
      <w:r w:rsidRPr="00D51EF4">
        <w:rPr>
          <w:lang w:val="en-GB"/>
        </w:rPr>
        <w:t xml:space="preserve"> and Da-</w:t>
      </w:r>
      <w:proofErr w:type="spellStart"/>
      <w:r w:rsidRPr="00D51EF4">
        <w:rPr>
          <w:lang w:val="en-GB"/>
        </w:rPr>
        <w:t>Hsien</w:t>
      </w:r>
      <w:proofErr w:type="spellEnd"/>
      <w:r w:rsidRPr="00D51EF4">
        <w:rPr>
          <w:lang w:val="en-GB"/>
        </w:rPr>
        <w:t xml:space="preserve"> 2004), so </w:t>
      </w:r>
      <w:r w:rsidR="00ED6642" w:rsidRPr="00D51EF4">
        <w:rPr>
          <w:lang w:val="en-GB"/>
        </w:rPr>
        <w:t>different</w:t>
      </w:r>
      <w:r w:rsidRPr="00D51EF4">
        <w:rPr>
          <w:lang w:val="en-GB"/>
        </w:rPr>
        <w:t xml:space="preserve"> earnings quality </w:t>
      </w:r>
      <w:r w:rsidR="00A91322" w:rsidRPr="00D51EF4">
        <w:rPr>
          <w:lang w:val="en-GB"/>
        </w:rPr>
        <w:t>studies</w:t>
      </w:r>
      <w:r w:rsidR="00ED6642" w:rsidRPr="00D51EF4">
        <w:rPr>
          <w:lang w:val="en-GB"/>
        </w:rPr>
        <w:t xml:space="preserve"> examine different attributes</w:t>
      </w:r>
      <w:r w:rsidRPr="00D51EF4">
        <w:rPr>
          <w:lang w:val="en-GB"/>
        </w:rPr>
        <w:t xml:space="preserve">. For instance, Barth, Landsman and Lang </w:t>
      </w:r>
      <w:r w:rsidR="00930C09" w:rsidRPr="00D51EF4">
        <w:rPr>
          <w:lang w:val="en-GB"/>
        </w:rPr>
        <w:fldChar w:fldCharType="begin"/>
      </w:r>
      <w:r w:rsidRPr="00D51EF4">
        <w:rPr>
          <w:lang w:val="en-GB"/>
        </w:rPr>
        <w:instrText xml:space="preserve"> ADDIN EN.CITE &lt;EndNote&gt;&lt;Cite ExcludeAuth="1"&gt;&lt;Author&gt;Barth&lt;/Author&gt;&lt;Year&gt;2008&lt;/Year&gt;&lt;RecNum&gt;741&lt;/RecNum&gt;&lt;record&gt;&lt;rec-number&gt;741&lt;/rec-number&gt;&lt;foreign-keys&gt;&lt;key app="EN" db-id="f2drrsve4s2fpaereeqvx9vesp5rvf9p0v0z"&gt;741&lt;/key&gt;&lt;/foreign-keys&gt;&lt;ref-type name="Journal Article"&gt;17&lt;/ref-type&gt;&lt;contributors&gt;&lt;authors&gt;&lt;author&gt;Barth, Mary E.&lt;/author&gt;&lt;author&gt;Landsman, Wayne R.&lt;/author&gt;&lt;author&gt;Lang, Mark H.&lt;/author&gt;&lt;/authors&gt;&lt;/contributors&gt;&lt;auth-address&gt;Stanford U&amp;#xD;U NC&lt;/auth-address&gt;&lt;titles&gt;&lt;title&gt;International Accounting Standards and Accounting Quality&lt;/title&gt;&lt;secondary-title&gt;Journal of Accounting Research&lt;/secondary-title&gt;&lt;/titles&gt;&lt;periodical&gt;&lt;full-title&gt;Journal of Accounting Research&lt;/full-title&gt;&lt;/periodical&gt;&lt;pages&gt;467-498&lt;/pages&gt;&lt;volume&gt;46&lt;/volume&gt;&lt;number&gt;3&lt;/number&gt;&lt;keywords&gt;&lt;keyword&gt;Personal, Professional, and Business Services L840&lt;/keyword&gt;&lt;keyword&gt;Accounting M410&lt;/keyword&gt;&lt;keyword&gt;Accounting and Auditing: Government Policy and Regulation M480&lt;/keyword&gt;&lt;/keywords&gt;&lt;dates&gt;&lt;year&gt;2008&lt;/year&gt;&lt;/dates&gt;&lt;isbn&gt;00218456&lt;/isbn&gt;&lt;urls&gt;&lt;related-urls&gt;&lt;url&gt;http://search.ebscohost.com/login.aspx?direct=true&amp;amp;db=ecn&amp;amp;AN=0975887&amp;amp;loginpage=login.asp&amp;amp;site=ehost-live&lt;/url&gt;&lt;url&gt;http://www.blackwellpublishing.com/journal.asp?ref=0021-8456&amp;amp;site=1&lt;/url&gt;&lt;/related-urls&gt;&lt;/urls&gt;&lt;electronic-resource-num&gt;http://www.blackwellpublishing.com/journal.asp?ref=0021-8456&amp;amp;site=1&lt;/electronic-resource-num&gt;&lt;remote-database-name&gt;ecn&lt;/remote-database-name&gt;&lt;remote-database-provider&gt;EBSCOhost&lt;/remote-database-provider&gt;&lt;/record&gt;&lt;/Cite&gt;&lt;/EndNote&gt;</w:instrText>
      </w:r>
      <w:r w:rsidR="00930C09" w:rsidRPr="00D51EF4">
        <w:rPr>
          <w:lang w:val="en-GB"/>
        </w:rPr>
        <w:fldChar w:fldCharType="separate"/>
      </w:r>
      <w:r w:rsidRPr="00D51EF4">
        <w:rPr>
          <w:lang w:val="en-GB"/>
        </w:rPr>
        <w:t>(</w:t>
      </w:r>
      <w:hyperlink w:anchor="_ENREF_3" w:tooltip="Barth, 2008 #741" w:history="1">
        <w:r w:rsidRPr="00D51EF4">
          <w:rPr>
            <w:lang w:val="en-GB"/>
          </w:rPr>
          <w:t>2008</w:t>
        </w:r>
      </w:hyperlink>
      <w:r w:rsidRPr="00D51EF4">
        <w:rPr>
          <w:lang w:val="en-GB"/>
        </w:rPr>
        <w:t>)</w:t>
      </w:r>
      <w:r w:rsidR="00930C09" w:rsidRPr="00D51EF4">
        <w:rPr>
          <w:lang w:val="en-GB"/>
        </w:rPr>
        <w:fldChar w:fldCharType="end"/>
      </w:r>
      <w:r w:rsidRPr="00D51EF4">
        <w:rPr>
          <w:lang w:val="en-GB"/>
        </w:rPr>
        <w:t xml:space="preserve"> limit their analyses to earnings management, timely loss recognition</w:t>
      </w:r>
      <w:r w:rsidR="00B07424" w:rsidRPr="00D51EF4">
        <w:rPr>
          <w:lang w:val="en-GB"/>
        </w:rPr>
        <w:t>,</w:t>
      </w:r>
      <w:r w:rsidRPr="00D51EF4">
        <w:rPr>
          <w:lang w:val="en-GB"/>
        </w:rPr>
        <w:t xml:space="preserve"> and </w:t>
      </w:r>
      <w:r w:rsidR="006548D2" w:rsidRPr="00D51EF4">
        <w:rPr>
          <w:lang w:val="en-GB"/>
        </w:rPr>
        <w:t xml:space="preserve">the </w:t>
      </w:r>
      <w:r w:rsidRPr="00D51EF4">
        <w:rPr>
          <w:lang w:val="en-GB"/>
        </w:rPr>
        <w:t xml:space="preserve">value relevance of earnings and </w:t>
      </w:r>
      <w:r w:rsidR="00ED6642" w:rsidRPr="00D51EF4">
        <w:rPr>
          <w:lang w:val="en-GB"/>
        </w:rPr>
        <w:t xml:space="preserve">equity </w:t>
      </w:r>
      <w:r w:rsidRPr="00D51EF4">
        <w:rPr>
          <w:lang w:val="en-GB"/>
        </w:rPr>
        <w:t xml:space="preserve">book values.  </w:t>
      </w:r>
      <w:r w:rsidR="0030774D" w:rsidRPr="00D51EF4">
        <w:rPr>
          <w:lang w:val="en-GB"/>
        </w:rPr>
        <w:t xml:space="preserve">In general, it is impossible to rank the earnings attributes according to </w:t>
      </w:r>
      <w:r w:rsidR="005E4938" w:rsidRPr="00D51EF4">
        <w:rPr>
          <w:lang w:val="en-GB"/>
        </w:rPr>
        <w:t xml:space="preserve">their </w:t>
      </w:r>
      <w:r w:rsidR="0030774D" w:rsidRPr="00D51EF4">
        <w:rPr>
          <w:lang w:val="en-GB"/>
        </w:rPr>
        <w:t>importance. However, c</w:t>
      </w:r>
      <w:r w:rsidR="007F2711" w:rsidRPr="00D51EF4">
        <w:rPr>
          <w:lang w:val="en-GB"/>
        </w:rPr>
        <w:t>onsistent with the finding</w:t>
      </w:r>
      <w:r w:rsidR="006548D2" w:rsidRPr="00D51EF4">
        <w:rPr>
          <w:lang w:val="en-GB"/>
        </w:rPr>
        <w:t>s</w:t>
      </w:r>
      <w:r w:rsidR="007F2711" w:rsidRPr="00D51EF4">
        <w:rPr>
          <w:lang w:val="en-GB"/>
        </w:rPr>
        <w:t xml:space="preserve"> of Graham et al. (2005) </w:t>
      </w:r>
      <w:proofErr w:type="gramStart"/>
      <w:r w:rsidR="007F2711" w:rsidRPr="00D51EF4">
        <w:rPr>
          <w:lang w:val="en-GB"/>
        </w:rPr>
        <w:t>that managers</w:t>
      </w:r>
      <w:proofErr w:type="gramEnd"/>
      <w:r w:rsidR="007F2711" w:rsidRPr="00D51EF4">
        <w:rPr>
          <w:lang w:val="en-GB"/>
        </w:rPr>
        <w:t xml:space="preserve"> have an “obsession” </w:t>
      </w:r>
      <w:r w:rsidR="0027336F" w:rsidRPr="00D51EF4">
        <w:rPr>
          <w:lang w:val="en-GB"/>
        </w:rPr>
        <w:t xml:space="preserve">with </w:t>
      </w:r>
      <w:r w:rsidR="007F2711" w:rsidRPr="00D51EF4">
        <w:rPr>
          <w:lang w:val="en-GB"/>
        </w:rPr>
        <w:t xml:space="preserve">stable earnings, </w:t>
      </w:r>
      <w:proofErr w:type="spellStart"/>
      <w:r w:rsidRPr="00D51EF4">
        <w:rPr>
          <w:lang w:val="en-GB"/>
        </w:rPr>
        <w:t>Melumad</w:t>
      </w:r>
      <w:proofErr w:type="spellEnd"/>
      <w:r w:rsidRPr="00D51EF4">
        <w:rPr>
          <w:lang w:val="en-GB"/>
        </w:rPr>
        <w:t xml:space="preserve"> and </w:t>
      </w:r>
      <w:proofErr w:type="spellStart"/>
      <w:r w:rsidRPr="00D51EF4">
        <w:rPr>
          <w:lang w:val="en-GB"/>
        </w:rPr>
        <w:t>Nissim</w:t>
      </w:r>
      <w:proofErr w:type="spellEnd"/>
      <w:r w:rsidRPr="00D51EF4">
        <w:rPr>
          <w:lang w:val="en-GB"/>
        </w:rPr>
        <w:t xml:space="preserve"> (2008) contend that practitioners seem to equate earnings quality with earnings persistence. </w:t>
      </w:r>
      <w:proofErr w:type="gramStart"/>
      <w:r w:rsidRPr="00D51EF4">
        <w:rPr>
          <w:lang w:val="en-GB"/>
        </w:rPr>
        <w:t xml:space="preserve">The importance of persistence and stability is </w:t>
      </w:r>
      <w:r w:rsidR="00AE7213" w:rsidRPr="00D51EF4">
        <w:rPr>
          <w:lang w:val="en-GB"/>
        </w:rPr>
        <w:t xml:space="preserve">also highlighted </w:t>
      </w:r>
      <w:r w:rsidRPr="00D51EF4">
        <w:rPr>
          <w:lang w:val="en-GB"/>
        </w:rPr>
        <w:t>by Francis et al. (2004)</w:t>
      </w:r>
      <w:r w:rsidR="006548D2" w:rsidRPr="00D51EF4">
        <w:rPr>
          <w:lang w:val="en-GB"/>
        </w:rPr>
        <w:t>, wh</w:t>
      </w:r>
      <w:r w:rsidR="005E4938" w:rsidRPr="00D51EF4">
        <w:rPr>
          <w:lang w:val="en-GB"/>
        </w:rPr>
        <w:t>o</w:t>
      </w:r>
      <w:r w:rsidR="006548D2" w:rsidRPr="00D51EF4">
        <w:rPr>
          <w:lang w:val="en-GB"/>
        </w:rPr>
        <w:t xml:space="preserve"> </w:t>
      </w:r>
      <w:r w:rsidR="00AE7213" w:rsidRPr="00D51EF4">
        <w:rPr>
          <w:lang w:val="en-GB"/>
        </w:rPr>
        <w:t>report that the largest cost</w:t>
      </w:r>
      <w:r w:rsidR="005E4938" w:rsidRPr="00D51EF4">
        <w:rPr>
          <w:lang w:val="en-GB"/>
        </w:rPr>
        <w:t>-</w:t>
      </w:r>
      <w:r w:rsidR="00AE7213" w:rsidRPr="00D51EF4">
        <w:rPr>
          <w:lang w:val="en-GB"/>
        </w:rPr>
        <w:t>of</w:t>
      </w:r>
      <w:r w:rsidR="005E4938" w:rsidRPr="00D51EF4">
        <w:rPr>
          <w:lang w:val="en-GB"/>
        </w:rPr>
        <w:t>-</w:t>
      </w:r>
      <w:r w:rsidR="00AE7213" w:rsidRPr="00D51EF4">
        <w:rPr>
          <w:lang w:val="en-GB"/>
        </w:rPr>
        <w:t>equity effects are observed for the accounting</w:t>
      </w:r>
      <w:r w:rsidR="006548D2" w:rsidRPr="00D51EF4">
        <w:rPr>
          <w:lang w:val="en-GB"/>
        </w:rPr>
        <w:t>-</w:t>
      </w:r>
      <w:r w:rsidR="00AE7213" w:rsidRPr="00D51EF4">
        <w:rPr>
          <w:lang w:val="en-GB"/>
        </w:rPr>
        <w:t>based attributes of earnings quality</w:t>
      </w:r>
      <w:proofErr w:type="gramEnd"/>
      <w:r w:rsidR="00DB71BC" w:rsidRPr="00D51EF4">
        <w:rPr>
          <w:lang w:val="en-GB"/>
        </w:rPr>
        <w:t>.</w:t>
      </w:r>
    </w:p>
    <w:p w14:paraId="1D332829" w14:textId="77777777" w:rsidR="00E7599E" w:rsidRPr="00D51EF4" w:rsidRDefault="00E7599E" w:rsidP="00F65B35">
      <w:pPr>
        <w:spacing w:line="480" w:lineRule="auto"/>
        <w:jc w:val="both"/>
        <w:rPr>
          <w:lang w:val="en-GB"/>
        </w:rPr>
      </w:pPr>
    </w:p>
    <w:p w14:paraId="4E987A38" w14:textId="3984977C" w:rsidR="00E7599E" w:rsidRPr="00D51EF4" w:rsidRDefault="0013334B" w:rsidP="00A845F0">
      <w:pPr>
        <w:autoSpaceDE w:val="0"/>
        <w:autoSpaceDN w:val="0"/>
        <w:adjustRightInd w:val="0"/>
        <w:spacing w:line="480" w:lineRule="auto"/>
        <w:jc w:val="both"/>
        <w:rPr>
          <w:lang w:val="en-GB"/>
        </w:rPr>
      </w:pPr>
      <w:r w:rsidRPr="00D51EF4">
        <w:rPr>
          <w:lang w:val="en-GB"/>
        </w:rPr>
        <w:t xml:space="preserve">In the earnings quality literature, prior research has tended to </w:t>
      </w:r>
      <w:r w:rsidR="005E4938" w:rsidRPr="00D51EF4">
        <w:rPr>
          <w:lang w:val="en-GB"/>
        </w:rPr>
        <w:t>focus</w:t>
      </w:r>
      <w:r w:rsidRPr="00D51EF4">
        <w:rPr>
          <w:lang w:val="en-GB"/>
        </w:rPr>
        <w:t xml:space="preserve"> on for-profit organisations, in particular publicly listed companies. </w:t>
      </w:r>
      <w:proofErr w:type="spellStart"/>
      <w:r w:rsidR="00D346C7" w:rsidRPr="00D51EF4">
        <w:rPr>
          <w:lang w:val="en-GB"/>
        </w:rPr>
        <w:t>Nonprofit</w:t>
      </w:r>
      <w:proofErr w:type="spellEnd"/>
      <w:r w:rsidR="00D346C7" w:rsidRPr="00D51EF4">
        <w:rPr>
          <w:lang w:val="en-GB"/>
        </w:rPr>
        <w:t xml:space="preserve"> organisations may differ from for-profit entities </w:t>
      </w:r>
      <w:r w:rsidR="005E4938" w:rsidRPr="00D51EF4">
        <w:rPr>
          <w:lang w:val="en-GB"/>
        </w:rPr>
        <w:t>because</w:t>
      </w:r>
      <w:r w:rsidR="00D346C7" w:rsidRPr="00D51EF4">
        <w:rPr>
          <w:lang w:val="en-GB"/>
        </w:rPr>
        <w:t xml:space="preserve"> they are supposed to spend </w:t>
      </w:r>
      <w:r w:rsidR="00E66C55" w:rsidRPr="00D51EF4">
        <w:rPr>
          <w:lang w:val="en-GB"/>
        </w:rPr>
        <w:t xml:space="preserve">all </w:t>
      </w:r>
      <w:r w:rsidR="00D346C7" w:rsidRPr="00D51EF4">
        <w:rPr>
          <w:lang w:val="en-GB"/>
        </w:rPr>
        <w:t xml:space="preserve">their </w:t>
      </w:r>
      <w:r w:rsidR="00E66C55" w:rsidRPr="00D51EF4">
        <w:rPr>
          <w:lang w:val="en-GB"/>
        </w:rPr>
        <w:t xml:space="preserve">available </w:t>
      </w:r>
      <w:r w:rsidR="00D346C7" w:rsidRPr="00D51EF4">
        <w:rPr>
          <w:lang w:val="en-GB"/>
        </w:rPr>
        <w:t xml:space="preserve">resources on current operations. However, </w:t>
      </w:r>
      <w:proofErr w:type="gramStart"/>
      <w:r w:rsidR="00D346C7" w:rsidRPr="00D51EF4">
        <w:rPr>
          <w:lang w:val="en-GB"/>
        </w:rPr>
        <w:t>t</w:t>
      </w:r>
      <w:r w:rsidR="00E7599E" w:rsidRPr="00D51EF4">
        <w:rPr>
          <w:lang w:val="en-GB"/>
        </w:rPr>
        <w:t>he importance of</w:t>
      </w:r>
      <w:r w:rsidR="00D346C7" w:rsidRPr="00D51EF4">
        <w:rPr>
          <w:lang w:val="en-GB"/>
        </w:rPr>
        <w:t xml:space="preserve"> positive</w:t>
      </w:r>
      <w:r w:rsidR="00E7599E" w:rsidRPr="00D51EF4">
        <w:rPr>
          <w:lang w:val="en-GB"/>
        </w:rPr>
        <w:t xml:space="preserve"> earnings for </w:t>
      </w:r>
      <w:proofErr w:type="spellStart"/>
      <w:r w:rsidR="00E7599E" w:rsidRPr="00D51EF4">
        <w:rPr>
          <w:lang w:val="en-GB"/>
        </w:rPr>
        <w:t>nonprofit</w:t>
      </w:r>
      <w:proofErr w:type="spellEnd"/>
      <w:r w:rsidR="00E7599E" w:rsidRPr="00D51EF4">
        <w:rPr>
          <w:lang w:val="en-GB"/>
        </w:rPr>
        <w:t xml:space="preserve"> organisations is illustrated by Calabrese (2012)</w:t>
      </w:r>
      <w:proofErr w:type="gramEnd"/>
      <w:r w:rsidR="00E7599E" w:rsidRPr="00D51EF4">
        <w:rPr>
          <w:lang w:val="en-GB"/>
        </w:rPr>
        <w:t>. In general, “</w:t>
      </w:r>
      <w:r w:rsidR="00D346C7" w:rsidRPr="00D51EF4">
        <w:rPr>
          <w:rFonts w:eastAsia="TimesNewRomanPSMT"/>
          <w:lang w:val="en-GB"/>
        </w:rPr>
        <w:t>n</w:t>
      </w:r>
      <w:r w:rsidR="00E7599E" w:rsidRPr="00D51EF4">
        <w:rPr>
          <w:rFonts w:eastAsia="TimesNewRomanPSMT"/>
          <w:lang w:val="en-GB"/>
        </w:rPr>
        <w:t>onprofit net assets are differentiated from for-profit equity by the ability of donors to</w:t>
      </w:r>
      <w:r w:rsidR="00D346C7" w:rsidRPr="00D51EF4">
        <w:rPr>
          <w:rFonts w:eastAsia="TimesNewRomanPSMT"/>
          <w:lang w:val="en-GB"/>
        </w:rPr>
        <w:t xml:space="preserve"> </w:t>
      </w:r>
      <w:r w:rsidR="00E7599E" w:rsidRPr="00D51EF4">
        <w:rPr>
          <w:rFonts w:eastAsia="TimesNewRomanPSMT"/>
          <w:lang w:val="en-GB"/>
        </w:rPr>
        <w:t>restrict certain assets</w:t>
      </w:r>
      <w:r w:rsidR="00A90AD8" w:rsidRPr="00D51EF4">
        <w:rPr>
          <w:lang w:val="en-GB"/>
        </w:rPr>
        <w:t>”</w:t>
      </w:r>
      <w:r w:rsidR="00DD1287">
        <w:rPr>
          <w:lang w:val="en-GB"/>
        </w:rPr>
        <w:t xml:space="preserve"> (Calabrese</w:t>
      </w:r>
      <w:r w:rsidR="00E7599E" w:rsidRPr="00D51EF4">
        <w:rPr>
          <w:lang w:val="en-GB"/>
        </w:rPr>
        <w:t xml:space="preserve"> 2012, p. 302). Calabrese (2012) </w:t>
      </w:r>
      <w:r w:rsidR="00EB4A2C" w:rsidRPr="00D51EF4">
        <w:rPr>
          <w:lang w:val="en-GB"/>
        </w:rPr>
        <w:t xml:space="preserve">demonstrates </w:t>
      </w:r>
      <w:r w:rsidR="000F7962">
        <w:rPr>
          <w:lang w:val="en-GB"/>
        </w:rPr>
        <w:t xml:space="preserve">that </w:t>
      </w:r>
      <w:proofErr w:type="spellStart"/>
      <w:r w:rsidR="000F7962">
        <w:rPr>
          <w:lang w:val="en-GB"/>
        </w:rPr>
        <w:t>non</w:t>
      </w:r>
      <w:r w:rsidR="00E7599E" w:rsidRPr="00D51EF4">
        <w:rPr>
          <w:lang w:val="en-GB"/>
        </w:rPr>
        <w:t>profit</w:t>
      </w:r>
      <w:proofErr w:type="spellEnd"/>
      <w:r w:rsidR="00E7599E" w:rsidRPr="00D51EF4">
        <w:rPr>
          <w:lang w:val="en-GB"/>
        </w:rPr>
        <w:t xml:space="preserve"> organisations adjust unrestricted assets by accumulating earnings. </w:t>
      </w:r>
      <w:r w:rsidR="00434F2E" w:rsidRPr="00D51EF4">
        <w:rPr>
          <w:lang w:val="en-GB"/>
        </w:rPr>
        <w:t>A major motivation for increasing unrestricted assets is to decrease the</w:t>
      </w:r>
      <w:r w:rsidR="00EB4A2C" w:rsidRPr="00D51EF4">
        <w:rPr>
          <w:lang w:val="en-GB"/>
        </w:rPr>
        <w:t>ir</w:t>
      </w:r>
      <w:r w:rsidR="00434F2E" w:rsidRPr="00D51EF4">
        <w:rPr>
          <w:lang w:val="en-GB"/>
        </w:rPr>
        <w:t xml:space="preserve"> financial vulnerability, </w:t>
      </w:r>
      <w:r w:rsidR="00D346C7" w:rsidRPr="00D51EF4">
        <w:rPr>
          <w:lang w:val="en-GB"/>
        </w:rPr>
        <w:t xml:space="preserve">and larger unrestricted assets aid </w:t>
      </w:r>
      <w:proofErr w:type="spellStart"/>
      <w:r w:rsidR="00D346C7" w:rsidRPr="00D51EF4">
        <w:rPr>
          <w:lang w:val="en-GB"/>
        </w:rPr>
        <w:t>nonprofits</w:t>
      </w:r>
      <w:proofErr w:type="spellEnd"/>
      <w:r w:rsidR="00D346C7" w:rsidRPr="00D51EF4">
        <w:rPr>
          <w:lang w:val="en-GB"/>
        </w:rPr>
        <w:t xml:space="preserve"> in </w:t>
      </w:r>
      <w:r w:rsidR="00EB4A2C" w:rsidRPr="00D51EF4">
        <w:rPr>
          <w:lang w:val="en-GB"/>
        </w:rPr>
        <w:t xml:space="preserve">satisfying the </w:t>
      </w:r>
      <w:r w:rsidR="00D346C7" w:rsidRPr="00D51EF4">
        <w:rPr>
          <w:lang w:val="en-GB"/>
        </w:rPr>
        <w:t xml:space="preserve">continuity of service provision. Calabrese (2012) concludes that </w:t>
      </w:r>
      <w:proofErr w:type="spellStart"/>
      <w:r w:rsidR="00D346C7" w:rsidRPr="00D51EF4">
        <w:rPr>
          <w:lang w:val="en-GB"/>
        </w:rPr>
        <w:t>nonprofit</w:t>
      </w:r>
      <w:proofErr w:type="spellEnd"/>
      <w:r w:rsidR="00D346C7" w:rsidRPr="00D51EF4">
        <w:rPr>
          <w:lang w:val="en-GB"/>
        </w:rPr>
        <w:t xml:space="preserve"> organisations act in </w:t>
      </w:r>
      <w:r w:rsidR="00EB4A2C" w:rsidRPr="00D51EF4">
        <w:rPr>
          <w:lang w:val="en-GB"/>
        </w:rPr>
        <w:t xml:space="preserve">a </w:t>
      </w:r>
      <w:r w:rsidR="00D346C7" w:rsidRPr="00D51EF4">
        <w:rPr>
          <w:lang w:val="en-GB"/>
        </w:rPr>
        <w:t xml:space="preserve">manner consistent with sound business practices. </w:t>
      </w:r>
    </w:p>
    <w:p w14:paraId="4A95A191" w14:textId="77777777" w:rsidR="00DB71BC" w:rsidRPr="00D51EF4" w:rsidRDefault="00DB71BC" w:rsidP="00F65B35">
      <w:pPr>
        <w:spacing w:line="480" w:lineRule="auto"/>
        <w:jc w:val="both"/>
        <w:rPr>
          <w:lang w:val="en-GB"/>
        </w:rPr>
      </w:pPr>
    </w:p>
    <w:p w14:paraId="69640EBE" w14:textId="20D70CDA" w:rsidR="00DB71BC" w:rsidRPr="00D51EF4" w:rsidRDefault="0013334B" w:rsidP="00F65B35">
      <w:pPr>
        <w:spacing w:line="480" w:lineRule="auto"/>
        <w:jc w:val="both"/>
        <w:rPr>
          <w:lang w:val="en-GB"/>
        </w:rPr>
      </w:pPr>
      <w:r w:rsidRPr="00D51EF4">
        <w:rPr>
          <w:lang w:val="en-GB"/>
        </w:rPr>
        <w:t>A few earnings quality studies have included non-listed organisations in the</w:t>
      </w:r>
      <w:r w:rsidR="00EB4A2C" w:rsidRPr="00D51EF4">
        <w:rPr>
          <w:lang w:val="en-GB"/>
        </w:rPr>
        <w:t>ir</w:t>
      </w:r>
      <w:r w:rsidRPr="00D51EF4">
        <w:rPr>
          <w:lang w:val="en-GB"/>
        </w:rPr>
        <w:t xml:space="preserve"> analys</w:t>
      </w:r>
      <w:r w:rsidR="00EB4A2C" w:rsidRPr="00D51EF4">
        <w:rPr>
          <w:lang w:val="en-GB"/>
        </w:rPr>
        <w:t>e</w:t>
      </w:r>
      <w:r w:rsidRPr="00D51EF4">
        <w:rPr>
          <w:lang w:val="en-GB"/>
        </w:rPr>
        <w:t xml:space="preserve">s. </w:t>
      </w:r>
      <w:r w:rsidR="000041C8" w:rsidRPr="00D51EF4">
        <w:rPr>
          <w:lang w:val="en-GB"/>
        </w:rPr>
        <w:t xml:space="preserve">Givoly et al. (2010) compare the earnings quality of publicly listed corporations with that of private equity firms and conclude that private firms have higher earnings quality. </w:t>
      </w:r>
      <w:r w:rsidR="004931F1" w:rsidRPr="00D51EF4">
        <w:rPr>
          <w:lang w:val="en-GB"/>
        </w:rPr>
        <w:t xml:space="preserve">A study by Pinnuck and Potter </w:t>
      </w:r>
      <w:r w:rsidR="00930C09" w:rsidRPr="00D51EF4">
        <w:rPr>
          <w:lang w:val="en-GB"/>
        </w:rPr>
        <w:fldChar w:fldCharType="begin"/>
      </w:r>
      <w:r w:rsidR="004931F1" w:rsidRPr="00D51EF4">
        <w:rPr>
          <w:lang w:val="en-GB"/>
        </w:rPr>
        <w:instrText xml:space="preserve"> ADDIN EN.CITE &lt;EndNote&gt;&lt;Cite ExcludeAuth="1"&gt;&lt;Author&gt;Pinnuck&lt;/Author&gt;&lt;Year&gt;2009&lt;/Year&gt;&lt;RecNum&gt;746&lt;/RecNum&gt;&lt;record&gt;&lt;rec-number&gt;746&lt;/rec-number&gt;&lt;foreign-keys&gt;&lt;key app="EN" db-id="f2drrsve4s2fpaereeqvx9vesp5rvf9p0v0z"&gt;746&lt;/key&gt;&lt;/foreign-keys&gt;&lt;ref-type name="Journal Article"&gt;17&lt;/ref-type&gt;&lt;contributors&gt;&lt;authors&gt;&lt;author&gt;Pinnuck, Matt&lt;/author&gt;&lt;author&gt;Potter, Bradley N.&lt;/author&gt;&lt;/authors&gt;&lt;/contributors&gt;&lt;titles&gt;&lt;title&gt;The quality and conservatism of the accounting earnings of local governments&lt;/title&gt;&lt;secondary-title&gt;Journal of Accounting &amp;amp; Public Policy&lt;/secondary-title&gt;&lt;/titles&gt;&lt;periodical&gt;&lt;full-title&gt;Journal of Accounting &amp;amp; Public Policy&lt;/full-title&gt;&lt;/periodical&gt;&lt;pages&gt;525-540&lt;/pages&gt;&lt;volume&gt;28&lt;/volume&gt;&lt;number&gt;6&lt;/number&gt;&lt;keywords&gt;&lt;keyword&gt;LOCAL finance&lt;/keyword&gt;&lt;keyword&gt;ACCOUNTING&lt;/keyword&gt;&lt;keyword&gt;ACCOUNTING -- Law &amp;amp; legislation&lt;/keyword&gt;&lt;keyword&gt;FINANCIAL statements&lt;/keyword&gt;&lt;keyword&gt;ACCRUAL basis accounting&lt;/keyword&gt;&lt;keyword&gt;ACCOUNTING methods&lt;/keyword&gt;&lt;keyword&gt;INFORMATION processing&lt;/keyword&gt;&lt;keyword&gt;CASH flow&lt;/keyword&gt;&lt;keyword&gt;AUSTRALIA&lt;/keyword&gt;&lt;keyword&gt;H11&lt;/keyword&gt;&lt;keyword&gt;M41&lt;/keyword&gt;&lt;/keywords&gt;&lt;dates&gt;&lt;year&gt;2009&lt;/year&gt;&lt;/dates&gt;&lt;isbn&gt;02784254&lt;/isbn&gt;&lt;work-type&gt;Article&lt;/work-type&gt;&lt;urls&gt;&lt;related-urls&gt;&lt;url&gt;http://search.ebscohost.com/login.aspx?direct=true&amp;amp;db=bth&amp;amp;AN=44584235&amp;amp;loginpage=login.asp&amp;amp;site=ehost-live&lt;/url&gt;&lt;/related-urls&gt;&lt;/urls&gt;&lt;electronic-resource-num&gt;10.1016/j.jaccpubpol.2009.08.002&lt;/electronic-resource-num&gt;&lt;remote-database-name&gt;bth&lt;/remote-database-name&gt;&lt;remote-database-provider&gt;EBSCOhost&lt;/remote-database-provider&gt;&lt;/record&gt;&lt;/Cite&gt;&lt;/EndNote&gt;</w:instrText>
      </w:r>
      <w:r w:rsidR="00930C09" w:rsidRPr="00D51EF4">
        <w:rPr>
          <w:lang w:val="en-GB"/>
        </w:rPr>
        <w:fldChar w:fldCharType="separate"/>
      </w:r>
      <w:r w:rsidR="004931F1" w:rsidRPr="00D51EF4">
        <w:rPr>
          <w:lang w:val="en-GB"/>
        </w:rPr>
        <w:t>(2009)</w:t>
      </w:r>
      <w:r w:rsidR="00930C09" w:rsidRPr="00D51EF4">
        <w:rPr>
          <w:lang w:val="en-GB"/>
        </w:rPr>
        <w:fldChar w:fldCharType="end"/>
      </w:r>
      <w:r w:rsidR="004931F1" w:rsidRPr="00D51EF4">
        <w:rPr>
          <w:lang w:val="en-GB"/>
        </w:rPr>
        <w:t xml:space="preserve"> is </w:t>
      </w:r>
      <w:r w:rsidR="000041C8" w:rsidRPr="00D51EF4">
        <w:rPr>
          <w:lang w:val="en-GB"/>
        </w:rPr>
        <w:t xml:space="preserve">one of </w:t>
      </w:r>
      <w:r w:rsidR="00E82ACC" w:rsidRPr="00D51EF4">
        <w:rPr>
          <w:lang w:val="en-GB"/>
        </w:rPr>
        <w:t xml:space="preserve">the </w:t>
      </w:r>
      <w:r w:rsidR="000041C8" w:rsidRPr="00D51EF4">
        <w:rPr>
          <w:lang w:val="en-GB"/>
        </w:rPr>
        <w:t>few</w:t>
      </w:r>
      <w:r w:rsidR="004931F1" w:rsidRPr="00D51EF4">
        <w:rPr>
          <w:lang w:val="en-GB"/>
        </w:rPr>
        <w:t xml:space="preserve"> studies </w:t>
      </w:r>
      <w:r w:rsidR="00E82ACC" w:rsidRPr="00D51EF4">
        <w:rPr>
          <w:lang w:val="en-GB"/>
        </w:rPr>
        <w:t xml:space="preserve">to </w:t>
      </w:r>
      <w:r w:rsidR="004931F1" w:rsidRPr="00D51EF4">
        <w:rPr>
          <w:lang w:val="en-GB"/>
        </w:rPr>
        <w:t xml:space="preserve">investigate earnings quality for </w:t>
      </w:r>
      <w:r w:rsidR="00260195" w:rsidRPr="00D51EF4">
        <w:rPr>
          <w:lang w:val="en-GB"/>
        </w:rPr>
        <w:t xml:space="preserve">organisations </w:t>
      </w:r>
      <w:r w:rsidR="006E51D7" w:rsidRPr="00D51EF4">
        <w:rPr>
          <w:lang w:val="en-GB"/>
        </w:rPr>
        <w:t>other than for</w:t>
      </w:r>
      <w:r w:rsidR="004931F1" w:rsidRPr="00D51EF4">
        <w:rPr>
          <w:lang w:val="en-GB"/>
        </w:rPr>
        <w:t>-</w:t>
      </w:r>
      <w:r w:rsidR="000041C8" w:rsidRPr="00D51EF4">
        <w:rPr>
          <w:lang w:val="en-GB"/>
        </w:rPr>
        <w:t>profit organi</w:t>
      </w:r>
      <w:r w:rsidR="00D411BD" w:rsidRPr="00D51EF4">
        <w:rPr>
          <w:lang w:val="en-GB"/>
        </w:rPr>
        <w:t>s</w:t>
      </w:r>
      <w:r w:rsidR="000041C8" w:rsidRPr="00D51EF4">
        <w:rPr>
          <w:lang w:val="en-GB"/>
        </w:rPr>
        <w:t>ations</w:t>
      </w:r>
      <w:r w:rsidR="004931F1" w:rsidRPr="00D51EF4">
        <w:rPr>
          <w:lang w:val="en-GB"/>
        </w:rPr>
        <w:t xml:space="preserve">. They examine </w:t>
      </w:r>
      <w:r w:rsidR="00E82ACC" w:rsidRPr="00D51EF4">
        <w:rPr>
          <w:lang w:val="en-GB"/>
        </w:rPr>
        <w:t xml:space="preserve">the </w:t>
      </w:r>
      <w:r w:rsidR="004931F1" w:rsidRPr="00D51EF4">
        <w:rPr>
          <w:lang w:val="en-GB"/>
        </w:rPr>
        <w:t>earnings quality of local governments across Australia</w:t>
      </w:r>
      <w:r w:rsidR="00E82ACC" w:rsidRPr="00D51EF4">
        <w:rPr>
          <w:lang w:val="en-GB"/>
        </w:rPr>
        <w:t xml:space="preserve"> </w:t>
      </w:r>
      <w:r w:rsidR="004931F1" w:rsidRPr="00D51EF4">
        <w:rPr>
          <w:lang w:val="en-GB"/>
        </w:rPr>
        <w:t xml:space="preserve">and report that governmental financial accounting is less useful than </w:t>
      </w:r>
      <w:r w:rsidR="00260195" w:rsidRPr="00D51EF4">
        <w:rPr>
          <w:lang w:val="en-GB"/>
        </w:rPr>
        <w:t xml:space="preserve">corporate </w:t>
      </w:r>
      <w:r w:rsidR="004931F1" w:rsidRPr="00D51EF4">
        <w:rPr>
          <w:lang w:val="en-GB"/>
        </w:rPr>
        <w:t xml:space="preserve">financial reporting. Their finding </w:t>
      </w:r>
      <w:proofErr w:type="gramStart"/>
      <w:r w:rsidR="004931F1" w:rsidRPr="00D51EF4">
        <w:rPr>
          <w:lang w:val="en-GB"/>
        </w:rPr>
        <w:t>is attributed</w:t>
      </w:r>
      <w:proofErr w:type="gramEnd"/>
      <w:r w:rsidR="004931F1" w:rsidRPr="00D51EF4">
        <w:rPr>
          <w:lang w:val="en-GB"/>
        </w:rPr>
        <w:t xml:space="preserve"> to less demand for high-quality accrual-based financial reports in the public sector.</w:t>
      </w:r>
    </w:p>
    <w:p w14:paraId="3E966B69" w14:textId="77777777" w:rsidR="008B0345" w:rsidRPr="00D51EF4" w:rsidRDefault="008B0345" w:rsidP="00F65B35">
      <w:pPr>
        <w:spacing w:line="480" w:lineRule="auto"/>
        <w:jc w:val="both"/>
        <w:rPr>
          <w:lang w:val="en-GB"/>
        </w:rPr>
      </w:pPr>
    </w:p>
    <w:p w14:paraId="2BA37390" w14:textId="66F607EB" w:rsidR="00AA3E8F" w:rsidRPr="00D51EF4" w:rsidRDefault="008B0345" w:rsidP="00F65B35">
      <w:pPr>
        <w:spacing w:line="480" w:lineRule="auto"/>
        <w:jc w:val="both"/>
        <w:rPr>
          <w:lang w:val="en-GB"/>
        </w:rPr>
      </w:pPr>
      <w:r w:rsidRPr="00D51EF4">
        <w:rPr>
          <w:lang w:val="en-GB"/>
        </w:rPr>
        <w:t xml:space="preserve">The findings of Pinnuck and Potter (2009) </w:t>
      </w:r>
      <w:proofErr w:type="gramStart"/>
      <w:r w:rsidRPr="00D51EF4">
        <w:rPr>
          <w:lang w:val="en-GB"/>
        </w:rPr>
        <w:t>can be interpreted</w:t>
      </w:r>
      <w:proofErr w:type="gramEnd"/>
      <w:r w:rsidRPr="00D51EF4">
        <w:rPr>
          <w:lang w:val="en-GB"/>
        </w:rPr>
        <w:t xml:space="preserve"> in light of the “demand hypothesis” discussed by Givoly et al. (2010). One may argue that professional investors demand higher earnings quality than do the stakeholders of </w:t>
      </w:r>
      <w:proofErr w:type="spellStart"/>
      <w:r w:rsidRPr="00D51EF4">
        <w:rPr>
          <w:lang w:val="en-GB"/>
        </w:rPr>
        <w:t>nonprofit</w:t>
      </w:r>
      <w:proofErr w:type="spellEnd"/>
      <w:r w:rsidRPr="00D51EF4">
        <w:rPr>
          <w:lang w:val="en-GB"/>
        </w:rPr>
        <w:t xml:space="preserve"> </w:t>
      </w:r>
      <w:r w:rsidR="003506AF" w:rsidRPr="00D51EF4">
        <w:rPr>
          <w:lang w:val="en-GB"/>
        </w:rPr>
        <w:t xml:space="preserve">or government </w:t>
      </w:r>
      <w:r w:rsidRPr="00D51EF4">
        <w:rPr>
          <w:lang w:val="en-GB"/>
        </w:rPr>
        <w:t xml:space="preserve">organisations. Thus, </w:t>
      </w:r>
      <w:r w:rsidR="003506AF" w:rsidRPr="00D51EF4">
        <w:rPr>
          <w:lang w:val="en-GB"/>
        </w:rPr>
        <w:t>for-</w:t>
      </w:r>
      <w:r w:rsidRPr="00D51EF4">
        <w:rPr>
          <w:lang w:val="en-GB"/>
        </w:rPr>
        <w:t>profit</w:t>
      </w:r>
      <w:r w:rsidR="003506AF" w:rsidRPr="00D51EF4">
        <w:rPr>
          <w:lang w:val="en-GB"/>
        </w:rPr>
        <w:t xml:space="preserve"> organ</w:t>
      </w:r>
      <w:r w:rsidR="00A76E9F" w:rsidRPr="00D51EF4">
        <w:rPr>
          <w:lang w:val="en-GB"/>
        </w:rPr>
        <w:t>is</w:t>
      </w:r>
      <w:r w:rsidR="003506AF" w:rsidRPr="00D51EF4">
        <w:rPr>
          <w:lang w:val="en-GB"/>
        </w:rPr>
        <w:t>ations</w:t>
      </w:r>
      <w:r w:rsidRPr="00D51EF4">
        <w:rPr>
          <w:lang w:val="en-GB"/>
        </w:rPr>
        <w:t xml:space="preserve"> should have higher earnings quality than </w:t>
      </w:r>
      <w:proofErr w:type="spellStart"/>
      <w:r w:rsidRPr="00D51EF4">
        <w:rPr>
          <w:lang w:val="en-GB"/>
        </w:rPr>
        <w:t>nonprofit</w:t>
      </w:r>
      <w:proofErr w:type="spellEnd"/>
      <w:r w:rsidRPr="00D51EF4">
        <w:rPr>
          <w:lang w:val="en-GB"/>
        </w:rPr>
        <w:t xml:space="preserve"> organi</w:t>
      </w:r>
      <w:r w:rsidR="00D411BD" w:rsidRPr="00D51EF4">
        <w:rPr>
          <w:lang w:val="en-GB"/>
        </w:rPr>
        <w:t>s</w:t>
      </w:r>
      <w:r w:rsidRPr="00D51EF4">
        <w:rPr>
          <w:lang w:val="en-GB"/>
        </w:rPr>
        <w:t>ations.</w:t>
      </w:r>
      <w:r w:rsidR="00DA737A" w:rsidRPr="00D51EF4">
        <w:rPr>
          <w:lang w:val="en-GB"/>
        </w:rPr>
        <w:t xml:space="preserve"> However, under the “opportunistic behaviour hypothesis”, </w:t>
      </w:r>
      <w:r w:rsidR="00CA23E1" w:rsidRPr="00D51EF4">
        <w:rPr>
          <w:lang w:val="en-GB"/>
        </w:rPr>
        <w:t xml:space="preserve">which is </w:t>
      </w:r>
      <w:r w:rsidR="00DA737A" w:rsidRPr="00D51EF4">
        <w:rPr>
          <w:lang w:val="en-GB"/>
        </w:rPr>
        <w:t xml:space="preserve">thoroughly </w:t>
      </w:r>
      <w:r w:rsidR="00E82ACC" w:rsidRPr="00D51EF4">
        <w:rPr>
          <w:lang w:val="en-GB"/>
        </w:rPr>
        <w:t xml:space="preserve">discussed </w:t>
      </w:r>
      <w:r w:rsidR="00DA737A" w:rsidRPr="00D51EF4">
        <w:rPr>
          <w:lang w:val="en-GB"/>
        </w:rPr>
        <w:t xml:space="preserve">by Givoly et al. (2010), </w:t>
      </w:r>
      <w:r w:rsidR="000E1E32" w:rsidRPr="00D51EF4">
        <w:rPr>
          <w:lang w:val="en-GB"/>
        </w:rPr>
        <w:t>the</w:t>
      </w:r>
      <w:r w:rsidR="00DA737A" w:rsidRPr="00D51EF4">
        <w:rPr>
          <w:lang w:val="en-GB"/>
        </w:rPr>
        <w:t xml:space="preserve"> management</w:t>
      </w:r>
      <w:r w:rsidR="000E1E32" w:rsidRPr="00D51EF4">
        <w:rPr>
          <w:lang w:val="en-GB"/>
        </w:rPr>
        <w:t>’s private</w:t>
      </w:r>
      <w:r w:rsidR="00DA737A" w:rsidRPr="00D51EF4">
        <w:rPr>
          <w:lang w:val="en-GB"/>
        </w:rPr>
        <w:t xml:space="preserve"> incentives may depress earnings quality </w:t>
      </w:r>
      <w:r w:rsidR="003506AF" w:rsidRPr="00D51EF4">
        <w:rPr>
          <w:lang w:val="en-GB"/>
        </w:rPr>
        <w:t xml:space="preserve">in </w:t>
      </w:r>
      <w:r w:rsidR="00DA737A" w:rsidRPr="00D51EF4">
        <w:rPr>
          <w:lang w:val="en-GB"/>
        </w:rPr>
        <w:t>for</w:t>
      </w:r>
      <w:r w:rsidR="003506AF" w:rsidRPr="00D51EF4">
        <w:rPr>
          <w:lang w:val="en-GB"/>
        </w:rPr>
        <w:t>-</w:t>
      </w:r>
      <w:r w:rsidR="00DA737A" w:rsidRPr="00D51EF4">
        <w:rPr>
          <w:lang w:val="en-GB"/>
        </w:rPr>
        <w:t xml:space="preserve">profit entities compared </w:t>
      </w:r>
      <w:r w:rsidR="00CA23E1" w:rsidRPr="00D51EF4">
        <w:rPr>
          <w:lang w:val="en-GB"/>
        </w:rPr>
        <w:t>with</w:t>
      </w:r>
      <w:r w:rsidR="00DA737A" w:rsidRPr="00D51EF4">
        <w:rPr>
          <w:lang w:val="en-GB"/>
        </w:rPr>
        <w:t xml:space="preserve"> </w:t>
      </w:r>
      <w:proofErr w:type="spellStart"/>
      <w:r w:rsidR="00DA737A" w:rsidRPr="00D51EF4">
        <w:rPr>
          <w:lang w:val="en-GB"/>
        </w:rPr>
        <w:t>nonprofit</w:t>
      </w:r>
      <w:proofErr w:type="spellEnd"/>
      <w:r w:rsidR="00DA737A" w:rsidRPr="00D51EF4">
        <w:rPr>
          <w:lang w:val="en-GB"/>
        </w:rPr>
        <w:t xml:space="preserve"> organi</w:t>
      </w:r>
      <w:r w:rsidR="00D411BD" w:rsidRPr="00D51EF4">
        <w:rPr>
          <w:lang w:val="en-GB"/>
        </w:rPr>
        <w:t>s</w:t>
      </w:r>
      <w:r w:rsidR="00DA737A" w:rsidRPr="00D51EF4">
        <w:rPr>
          <w:lang w:val="en-GB"/>
        </w:rPr>
        <w:t xml:space="preserve">ations. The basic idea behind this hypothesis is that CEOs of </w:t>
      </w:r>
      <w:r w:rsidR="003506AF" w:rsidRPr="00D51EF4">
        <w:rPr>
          <w:lang w:val="en-GB"/>
        </w:rPr>
        <w:t>for-</w:t>
      </w:r>
      <w:r w:rsidR="00DA737A" w:rsidRPr="00D51EF4">
        <w:rPr>
          <w:lang w:val="en-GB"/>
        </w:rPr>
        <w:t>profit</w:t>
      </w:r>
      <w:r w:rsidR="00A76E9F" w:rsidRPr="00D51EF4">
        <w:rPr>
          <w:lang w:val="en-GB"/>
        </w:rPr>
        <w:t xml:space="preserve"> organis</w:t>
      </w:r>
      <w:r w:rsidR="003506AF" w:rsidRPr="00D51EF4">
        <w:rPr>
          <w:lang w:val="en-GB"/>
        </w:rPr>
        <w:t>ations</w:t>
      </w:r>
      <w:r w:rsidR="00DA737A" w:rsidRPr="00D51EF4">
        <w:rPr>
          <w:lang w:val="en-GB"/>
        </w:rPr>
        <w:t xml:space="preserve"> are </w:t>
      </w:r>
      <w:r w:rsidR="003506AF" w:rsidRPr="00D51EF4">
        <w:rPr>
          <w:lang w:val="en-GB"/>
        </w:rPr>
        <w:t xml:space="preserve">likely </w:t>
      </w:r>
      <w:r w:rsidR="00DA737A" w:rsidRPr="00D51EF4">
        <w:rPr>
          <w:lang w:val="en-GB"/>
        </w:rPr>
        <w:t xml:space="preserve">under strong pressure </w:t>
      </w:r>
      <w:r w:rsidR="00CA23E1" w:rsidRPr="00D51EF4">
        <w:rPr>
          <w:lang w:val="en-GB"/>
        </w:rPr>
        <w:t>from</w:t>
      </w:r>
      <w:r w:rsidR="00DA737A" w:rsidRPr="00D51EF4">
        <w:rPr>
          <w:lang w:val="en-GB"/>
        </w:rPr>
        <w:t xml:space="preserve"> investors to meet performance benchmarks and they often have a personal stake in the firm</w:t>
      </w:r>
      <w:r w:rsidR="00E82ACC" w:rsidRPr="00D51EF4">
        <w:rPr>
          <w:lang w:val="en-GB"/>
        </w:rPr>
        <w:t>s’</w:t>
      </w:r>
      <w:r w:rsidR="003506AF" w:rsidRPr="00D51EF4">
        <w:rPr>
          <w:lang w:val="en-GB"/>
        </w:rPr>
        <w:t xml:space="preserve"> profits</w:t>
      </w:r>
      <w:r w:rsidR="00DA737A" w:rsidRPr="00D51EF4">
        <w:rPr>
          <w:lang w:val="en-GB"/>
        </w:rPr>
        <w:t xml:space="preserve"> </w:t>
      </w:r>
      <w:r w:rsidR="00CA23E1" w:rsidRPr="00D51EF4">
        <w:rPr>
          <w:lang w:val="en-GB"/>
        </w:rPr>
        <w:t>because of</w:t>
      </w:r>
      <w:r w:rsidR="00DA737A" w:rsidRPr="00D51EF4">
        <w:rPr>
          <w:lang w:val="en-GB"/>
        </w:rPr>
        <w:t xml:space="preserve"> </w:t>
      </w:r>
      <w:r w:rsidR="003506AF" w:rsidRPr="00D51EF4">
        <w:rPr>
          <w:lang w:val="en-GB"/>
        </w:rPr>
        <w:t>result</w:t>
      </w:r>
      <w:r w:rsidR="00CA23E1" w:rsidRPr="00D51EF4">
        <w:rPr>
          <w:lang w:val="en-GB"/>
        </w:rPr>
        <w:t>s</w:t>
      </w:r>
      <w:r w:rsidR="001D4C1B" w:rsidRPr="00D51EF4">
        <w:rPr>
          <w:lang w:val="en-GB"/>
        </w:rPr>
        <w:t>-</w:t>
      </w:r>
      <w:r w:rsidR="003506AF" w:rsidRPr="00D51EF4">
        <w:rPr>
          <w:lang w:val="en-GB"/>
        </w:rPr>
        <w:t>based</w:t>
      </w:r>
      <w:r w:rsidR="00DA737A" w:rsidRPr="00D51EF4">
        <w:rPr>
          <w:lang w:val="en-GB"/>
        </w:rPr>
        <w:t xml:space="preserve"> compensation</w:t>
      </w:r>
      <w:r w:rsidR="003506AF" w:rsidRPr="00D51EF4">
        <w:rPr>
          <w:lang w:val="en-GB"/>
        </w:rPr>
        <w:t>s contracts</w:t>
      </w:r>
      <w:r w:rsidR="00DA737A" w:rsidRPr="00D51EF4">
        <w:rPr>
          <w:lang w:val="en-GB"/>
        </w:rPr>
        <w:t xml:space="preserve"> or personal stock ownership. </w:t>
      </w:r>
      <w:r w:rsidR="006E53D0" w:rsidRPr="00D51EF4">
        <w:rPr>
          <w:lang w:val="en-GB"/>
        </w:rPr>
        <w:t>Therefore,</w:t>
      </w:r>
      <w:r w:rsidR="00356141" w:rsidRPr="00D51EF4">
        <w:rPr>
          <w:lang w:val="en-GB"/>
        </w:rPr>
        <w:t xml:space="preserve"> </w:t>
      </w:r>
      <w:r w:rsidR="00CA2D87" w:rsidRPr="00D51EF4">
        <w:rPr>
          <w:lang w:val="en-GB"/>
        </w:rPr>
        <w:t xml:space="preserve">incentives </w:t>
      </w:r>
      <w:r w:rsidR="00DA737A" w:rsidRPr="00D51EF4">
        <w:rPr>
          <w:lang w:val="en-GB"/>
        </w:rPr>
        <w:t xml:space="preserve">to manipulate earnings may lead to lower earnings quality </w:t>
      </w:r>
      <w:r w:rsidR="003506AF" w:rsidRPr="00D51EF4">
        <w:rPr>
          <w:lang w:val="en-GB"/>
        </w:rPr>
        <w:t xml:space="preserve">in </w:t>
      </w:r>
      <w:r w:rsidR="00DA737A" w:rsidRPr="00D51EF4">
        <w:rPr>
          <w:lang w:val="en-GB"/>
        </w:rPr>
        <w:t>for</w:t>
      </w:r>
      <w:r w:rsidR="003506AF" w:rsidRPr="00D51EF4">
        <w:rPr>
          <w:lang w:val="en-GB"/>
        </w:rPr>
        <w:t>-</w:t>
      </w:r>
      <w:r w:rsidR="00DA737A" w:rsidRPr="00D51EF4">
        <w:rPr>
          <w:lang w:val="en-GB"/>
        </w:rPr>
        <w:t xml:space="preserve">profit </w:t>
      </w:r>
      <w:r w:rsidR="00A76E9F" w:rsidRPr="00D51EF4">
        <w:rPr>
          <w:lang w:val="en-GB"/>
        </w:rPr>
        <w:t>organis</w:t>
      </w:r>
      <w:r w:rsidR="003506AF" w:rsidRPr="00D51EF4">
        <w:rPr>
          <w:lang w:val="en-GB"/>
        </w:rPr>
        <w:t xml:space="preserve">ations </w:t>
      </w:r>
      <w:r w:rsidR="00DA737A" w:rsidRPr="00D51EF4">
        <w:rPr>
          <w:lang w:val="en-GB"/>
        </w:rPr>
        <w:t>than</w:t>
      </w:r>
      <w:r w:rsidR="003506AF" w:rsidRPr="00D51EF4">
        <w:rPr>
          <w:lang w:val="en-GB"/>
        </w:rPr>
        <w:t xml:space="preserve"> in</w:t>
      </w:r>
      <w:r w:rsidR="00DA737A" w:rsidRPr="00D51EF4">
        <w:rPr>
          <w:lang w:val="en-GB"/>
        </w:rPr>
        <w:t xml:space="preserve"> </w:t>
      </w:r>
      <w:proofErr w:type="spellStart"/>
      <w:r w:rsidR="00DA737A" w:rsidRPr="00D51EF4">
        <w:rPr>
          <w:lang w:val="en-GB"/>
        </w:rPr>
        <w:t>nonprofit</w:t>
      </w:r>
      <w:proofErr w:type="spellEnd"/>
      <w:r w:rsidR="00DA737A" w:rsidRPr="00D51EF4">
        <w:rPr>
          <w:lang w:val="en-GB"/>
        </w:rPr>
        <w:t xml:space="preserve"> organi</w:t>
      </w:r>
      <w:r w:rsidR="00D411BD" w:rsidRPr="00D51EF4">
        <w:rPr>
          <w:lang w:val="en-GB"/>
        </w:rPr>
        <w:t>s</w:t>
      </w:r>
      <w:r w:rsidR="00DA737A" w:rsidRPr="00D51EF4">
        <w:rPr>
          <w:lang w:val="en-GB"/>
        </w:rPr>
        <w:t xml:space="preserve">ations. </w:t>
      </w:r>
      <w:r w:rsidR="00F901A2" w:rsidRPr="00D51EF4">
        <w:rPr>
          <w:lang w:val="en-GB"/>
        </w:rPr>
        <w:t xml:space="preserve">Still, it is possible to challenge this line of reasoning; because </w:t>
      </w:r>
      <w:proofErr w:type="spellStart"/>
      <w:r w:rsidR="00F901A2" w:rsidRPr="00D51EF4">
        <w:rPr>
          <w:lang w:val="en-GB"/>
        </w:rPr>
        <w:t>nonprofit</w:t>
      </w:r>
      <w:proofErr w:type="spellEnd"/>
      <w:r w:rsidR="00F901A2" w:rsidRPr="00D51EF4">
        <w:rPr>
          <w:lang w:val="en-GB"/>
        </w:rPr>
        <w:t xml:space="preserve"> actors receive subsidies, they could have</w:t>
      </w:r>
      <w:r w:rsidR="00591686" w:rsidRPr="00D51EF4">
        <w:rPr>
          <w:lang w:val="en-GB"/>
        </w:rPr>
        <w:t xml:space="preserve"> equally strong</w:t>
      </w:r>
      <w:r w:rsidR="00F901A2" w:rsidRPr="00D51EF4">
        <w:rPr>
          <w:lang w:val="en-GB"/>
        </w:rPr>
        <w:t xml:space="preserve"> incentives to manipulate earning</w:t>
      </w:r>
      <w:r w:rsidR="0026342E" w:rsidRPr="00D51EF4">
        <w:rPr>
          <w:lang w:val="en-GB"/>
        </w:rPr>
        <w:t xml:space="preserve">s </w:t>
      </w:r>
      <w:r w:rsidR="00CA23E1" w:rsidRPr="00D51EF4">
        <w:rPr>
          <w:lang w:val="en-GB"/>
        </w:rPr>
        <w:t>because of</w:t>
      </w:r>
      <w:r w:rsidR="0026342E" w:rsidRPr="00D51EF4">
        <w:rPr>
          <w:lang w:val="en-GB"/>
        </w:rPr>
        <w:t xml:space="preserve"> pressure from dono</w:t>
      </w:r>
      <w:r w:rsidR="00F901A2" w:rsidRPr="00D51EF4">
        <w:rPr>
          <w:lang w:val="en-GB"/>
        </w:rPr>
        <w:t>r</w:t>
      </w:r>
      <w:r w:rsidR="0026342E" w:rsidRPr="00D51EF4">
        <w:rPr>
          <w:lang w:val="en-GB"/>
        </w:rPr>
        <w:t>s</w:t>
      </w:r>
      <w:r w:rsidR="00F901A2" w:rsidRPr="00D51EF4">
        <w:rPr>
          <w:lang w:val="en-GB"/>
        </w:rPr>
        <w:t xml:space="preserve">. </w:t>
      </w:r>
      <w:proofErr w:type="spellStart"/>
      <w:r w:rsidR="00AA3E8F" w:rsidRPr="00D51EF4">
        <w:rPr>
          <w:lang w:val="en-GB"/>
        </w:rPr>
        <w:t>Nonprofit</w:t>
      </w:r>
      <w:proofErr w:type="spellEnd"/>
      <w:r w:rsidR="00AA3E8F" w:rsidRPr="00D51EF4">
        <w:rPr>
          <w:lang w:val="en-GB"/>
        </w:rPr>
        <w:t xml:space="preserve"> organisations may experience pressure from donors to report </w:t>
      </w:r>
      <w:r w:rsidR="00AA3E8F" w:rsidRPr="00D51EF4">
        <w:rPr>
          <w:lang w:val="en-GB"/>
        </w:rPr>
        <w:lastRenderedPageBreak/>
        <w:t>positive earnings</w:t>
      </w:r>
      <w:r w:rsidR="00D06070" w:rsidRPr="00D51EF4">
        <w:rPr>
          <w:lang w:val="en-GB"/>
        </w:rPr>
        <w:t xml:space="preserve"> because</w:t>
      </w:r>
      <w:r w:rsidR="00AA3E8F" w:rsidRPr="00D51EF4">
        <w:rPr>
          <w:lang w:val="en-GB"/>
        </w:rPr>
        <w:t xml:space="preserve"> donors would not want to be involved </w:t>
      </w:r>
      <w:r w:rsidR="00EF4038" w:rsidRPr="00D51EF4">
        <w:rPr>
          <w:lang w:val="en-GB"/>
        </w:rPr>
        <w:t>in</w:t>
      </w:r>
      <w:r w:rsidR="00AA3E8F" w:rsidRPr="00D51EF4">
        <w:rPr>
          <w:lang w:val="en-GB"/>
        </w:rPr>
        <w:t xml:space="preserve"> entities that are not financially sustainable. However, </w:t>
      </w:r>
      <w:proofErr w:type="spellStart"/>
      <w:r w:rsidR="00AA3E8F" w:rsidRPr="00D51EF4">
        <w:rPr>
          <w:lang w:val="en-GB"/>
        </w:rPr>
        <w:t>nonprofit</w:t>
      </w:r>
      <w:proofErr w:type="spellEnd"/>
      <w:r w:rsidR="00AA3E8F" w:rsidRPr="00D51EF4">
        <w:rPr>
          <w:lang w:val="en-GB"/>
        </w:rPr>
        <w:t xml:space="preserve"> organisations may also have </w:t>
      </w:r>
      <w:r w:rsidR="00CA23E1" w:rsidRPr="00D51EF4">
        <w:rPr>
          <w:lang w:val="en-GB"/>
        </w:rPr>
        <w:t xml:space="preserve">an </w:t>
      </w:r>
      <w:r w:rsidR="00AA3E8F" w:rsidRPr="00D51EF4">
        <w:rPr>
          <w:lang w:val="en-GB"/>
        </w:rPr>
        <w:t xml:space="preserve">incentive </w:t>
      </w:r>
      <w:r w:rsidR="00CA23E1" w:rsidRPr="00D51EF4">
        <w:rPr>
          <w:lang w:val="en-GB"/>
        </w:rPr>
        <w:t xml:space="preserve">not </w:t>
      </w:r>
      <w:r w:rsidR="00AA3E8F" w:rsidRPr="00D51EF4">
        <w:rPr>
          <w:lang w:val="en-GB"/>
        </w:rPr>
        <w:t xml:space="preserve">to report </w:t>
      </w:r>
      <w:r w:rsidR="00CA23E1" w:rsidRPr="00D51EF4">
        <w:rPr>
          <w:i/>
          <w:lang w:val="en-GB"/>
        </w:rPr>
        <w:t>high</w:t>
      </w:r>
      <w:r w:rsidR="00AA3E8F" w:rsidRPr="00D51EF4">
        <w:rPr>
          <w:i/>
          <w:lang w:val="en-GB"/>
        </w:rPr>
        <w:t xml:space="preserve"> profits</w:t>
      </w:r>
      <w:r w:rsidR="00D06070" w:rsidRPr="00D51EF4">
        <w:rPr>
          <w:lang w:val="en-GB"/>
        </w:rPr>
        <w:t xml:space="preserve"> because</w:t>
      </w:r>
      <w:r w:rsidR="00AA3E8F" w:rsidRPr="00D51EF4">
        <w:rPr>
          <w:lang w:val="en-GB"/>
        </w:rPr>
        <w:t xml:space="preserve"> this could signal that the entities do not </w:t>
      </w:r>
      <w:r w:rsidR="00CA23E1" w:rsidRPr="00D51EF4">
        <w:rPr>
          <w:lang w:val="en-GB"/>
        </w:rPr>
        <w:t xml:space="preserve">actually </w:t>
      </w:r>
      <w:r w:rsidR="00AA3E8F" w:rsidRPr="00D51EF4">
        <w:rPr>
          <w:lang w:val="en-GB"/>
        </w:rPr>
        <w:t xml:space="preserve">need support from donors. </w:t>
      </w:r>
    </w:p>
    <w:p w14:paraId="38951BAD" w14:textId="77777777" w:rsidR="00AA3E8F" w:rsidRPr="00D51EF4" w:rsidRDefault="00AA3E8F" w:rsidP="00F65B35">
      <w:pPr>
        <w:spacing w:line="480" w:lineRule="auto"/>
        <w:jc w:val="both"/>
        <w:rPr>
          <w:lang w:val="en-GB"/>
        </w:rPr>
      </w:pPr>
    </w:p>
    <w:p w14:paraId="4B5396CF" w14:textId="079AA0EF" w:rsidR="008B0345" w:rsidRPr="00D51EF4" w:rsidRDefault="00BC71F3" w:rsidP="00F65B35">
      <w:pPr>
        <w:spacing w:line="480" w:lineRule="auto"/>
        <w:jc w:val="both"/>
        <w:rPr>
          <w:lang w:val="en-GB"/>
        </w:rPr>
      </w:pPr>
      <w:r w:rsidRPr="00D51EF4">
        <w:rPr>
          <w:lang w:val="en-GB"/>
        </w:rPr>
        <w:t>Overall, t</w:t>
      </w:r>
      <w:r w:rsidR="00F901A2" w:rsidRPr="00D51EF4">
        <w:rPr>
          <w:lang w:val="en-GB"/>
        </w:rPr>
        <w:t xml:space="preserve">he research on </w:t>
      </w:r>
      <w:r w:rsidR="004F58B3" w:rsidRPr="00D51EF4">
        <w:rPr>
          <w:lang w:val="en-GB"/>
        </w:rPr>
        <w:t xml:space="preserve">earnings quality </w:t>
      </w:r>
      <w:r w:rsidR="00CA23E1" w:rsidRPr="00D51EF4">
        <w:rPr>
          <w:lang w:val="en-GB"/>
        </w:rPr>
        <w:t>of</w:t>
      </w:r>
      <w:r w:rsidR="004F58B3" w:rsidRPr="00D51EF4">
        <w:rPr>
          <w:lang w:val="en-GB"/>
        </w:rPr>
        <w:t xml:space="preserve"> </w:t>
      </w:r>
      <w:proofErr w:type="spellStart"/>
      <w:r w:rsidR="004F58B3" w:rsidRPr="00D51EF4">
        <w:rPr>
          <w:lang w:val="en-GB"/>
        </w:rPr>
        <w:t>nonprofit</w:t>
      </w:r>
      <w:proofErr w:type="spellEnd"/>
      <w:r w:rsidR="004F58B3" w:rsidRPr="00D51EF4">
        <w:rPr>
          <w:lang w:val="en-GB"/>
        </w:rPr>
        <w:t xml:space="preserve"> organisations</w:t>
      </w:r>
      <w:r w:rsidR="00F901A2" w:rsidRPr="00D51EF4">
        <w:rPr>
          <w:lang w:val="en-GB"/>
        </w:rPr>
        <w:t xml:space="preserve"> is scarce and contradictory</w:t>
      </w:r>
      <w:r w:rsidR="004F58B3" w:rsidRPr="00D51EF4">
        <w:rPr>
          <w:lang w:val="en-GB"/>
        </w:rPr>
        <w:t>.</w:t>
      </w:r>
      <w:r w:rsidR="00F901A2" w:rsidRPr="00D51EF4">
        <w:rPr>
          <w:lang w:val="en-GB"/>
        </w:rPr>
        <w:t xml:space="preserve"> </w:t>
      </w:r>
      <w:r w:rsidR="004F58B3" w:rsidRPr="00D51EF4">
        <w:rPr>
          <w:lang w:val="en-GB"/>
        </w:rPr>
        <w:t>W</w:t>
      </w:r>
      <w:r w:rsidR="00EE6802" w:rsidRPr="00D51EF4">
        <w:rPr>
          <w:lang w:val="en-GB"/>
        </w:rPr>
        <w:t>hereas the demand hypothesis appears to explain the results of Pinnuck and Potter (2009)</w:t>
      </w:r>
      <w:r w:rsidR="00530355" w:rsidRPr="00D51EF4">
        <w:rPr>
          <w:lang w:val="en-GB"/>
        </w:rPr>
        <w:t>, the findings of Givoly et al. (2010)</w:t>
      </w:r>
      <w:r w:rsidR="00E82ACC" w:rsidRPr="00D51EF4">
        <w:rPr>
          <w:lang w:val="en-GB"/>
        </w:rPr>
        <w:t>,</w:t>
      </w:r>
      <w:r w:rsidR="00530355" w:rsidRPr="00D51EF4">
        <w:rPr>
          <w:lang w:val="en-GB"/>
        </w:rPr>
        <w:t xml:space="preserve"> that private firm</w:t>
      </w:r>
      <w:r w:rsidR="00E82ACC" w:rsidRPr="00D51EF4">
        <w:rPr>
          <w:lang w:val="en-GB"/>
        </w:rPr>
        <w:t>s</w:t>
      </w:r>
      <w:r w:rsidR="00530355" w:rsidRPr="00D51EF4">
        <w:rPr>
          <w:lang w:val="en-GB"/>
        </w:rPr>
        <w:t xml:space="preserve"> have higher earnings quality than public firms, are consistent with the opportunistic behaviour hypothesis. </w:t>
      </w:r>
    </w:p>
    <w:p w14:paraId="60CD70AB" w14:textId="77777777" w:rsidR="00D505E7" w:rsidRPr="00D51EF4" w:rsidRDefault="00D505E7" w:rsidP="00F65B35">
      <w:pPr>
        <w:spacing w:line="480" w:lineRule="auto"/>
        <w:jc w:val="both"/>
        <w:rPr>
          <w:lang w:val="en-GB"/>
        </w:rPr>
      </w:pPr>
    </w:p>
    <w:p w14:paraId="4468386C" w14:textId="521CAD24" w:rsidR="0094157E" w:rsidRPr="00D51EF4" w:rsidRDefault="0027336F" w:rsidP="00F65B35">
      <w:pPr>
        <w:spacing w:line="480" w:lineRule="auto"/>
        <w:jc w:val="both"/>
        <w:rPr>
          <w:lang w:val="en-GB"/>
        </w:rPr>
      </w:pPr>
      <w:r w:rsidRPr="00D51EF4">
        <w:rPr>
          <w:lang w:val="en-GB"/>
        </w:rPr>
        <w:t>Alt</w:t>
      </w:r>
      <w:r w:rsidR="00E82ACC" w:rsidRPr="00D51EF4">
        <w:rPr>
          <w:lang w:val="en-GB"/>
        </w:rPr>
        <w:t xml:space="preserve">hough </w:t>
      </w:r>
      <w:r w:rsidR="00D505E7" w:rsidRPr="00D51EF4">
        <w:rPr>
          <w:lang w:val="en-GB"/>
        </w:rPr>
        <w:t>the incentives summari</w:t>
      </w:r>
      <w:r w:rsidR="00D411BD" w:rsidRPr="00D51EF4">
        <w:rPr>
          <w:lang w:val="en-GB"/>
        </w:rPr>
        <w:t>s</w:t>
      </w:r>
      <w:r w:rsidR="00D505E7" w:rsidRPr="00D51EF4">
        <w:rPr>
          <w:lang w:val="en-GB"/>
        </w:rPr>
        <w:t xml:space="preserve">ed by the opportunistic behaviour hypothesis </w:t>
      </w:r>
      <w:r w:rsidR="00E82ACC" w:rsidRPr="00D51EF4">
        <w:rPr>
          <w:lang w:val="en-GB"/>
        </w:rPr>
        <w:t>may</w:t>
      </w:r>
      <w:r w:rsidR="00D505E7" w:rsidRPr="00D51EF4">
        <w:rPr>
          <w:lang w:val="en-GB"/>
        </w:rPr>
        <w:t xml:space="preserve"> be an important driving force for earnings management, the specific influence</w:t>
      </w:r>
      <w:r w:rsidR="00CA23E1" w:rsidRPr="00D51EF4">
        <w:rPr>
          <w:lang w:val="en-GB"/>
        </w:rPr>
        <w:t>s</w:t>
      </w:r>
      <w:r w:rsidR="00D505E7" w:rsidRPr="00D51EF4">
        <w:rPr>
          <w:lang w:val="en-GB"/>
        </w:rPr>
        <w:t xml:space="preserve"> </w:t>
      </w:r>
      <w:r w:rsidR="00E82ACC" w:rsidRPr="00D51EF4">
        <w:rPr>
          <w:lang w:val="en-GB"/>
        </w:rPr>
        <w:t xml:space="preserve">of these </w:t>
      </w:r>
      <w:r w:rsidR="00D505E7" w:rsidRPr="00D51EF4">
        <w:rPr>
          <w:lang w:val="en-GB"/>
        </w:rPr>
        <w:t xml:space="preserve">incentives on earnings quality depend on the </w:t>
      </w:r>
      <w:r w:rsidR="00D505E7" w:rsidRPr="00D51EF4">
        <w:rPr>
          <w:i/>
          <w:lang w:val="en-GB"/>
        </w:rPr>
        <w:t>possibilities</w:t>
      </w:r>
      <w:r w:rsidR="00D505E7" w:rsidRPr="00D51EF4">
        <w:rPr>
          <w:lang w:val="en-GB"/>
        </w:rPr>
        <w:t xml:space="preserve"> that managers have to influence the reported earnings. </w:t>
      </w:r>
      <w:r w:rsidR="001F39A9" w:rsidRPr="00D51EF4">
        <w:rPr>
          <w:lang w:val="en-GB"/>
        </w:rPr>
        <w:t>The</w:t>
      </w:r>
      <w:r w:rsidR="00E82ACC" w:rsidRPr="00D51EF4">
        <w:rPr>
          <w:lang w:val="en-GB"/>
        </w:rPr>
        <w:t xml:space="preserve">se </w:t>
      </w:r>
      <w:r w:rsidR="001F39A9" w:rsidRPr="00D51EF4">
        <w:rPr>
          <w:lang w:val="en-GB"/>
        </w:rPr>
        <w:t>possibilities are dependent on governance mechanisms, and</w:t>
      </w:r>
      <w:r w:rsidR="00D505E7" w:rsidRPr="00D51EF4">
        <w:rPr>
          <w:lang w:val="en-GB"/>
        </w:rPr>
        <w:t xml:space="preserve"> Francis</w:t>
      </w:r>
      <w:r w:rsidR="001F39A9" w:rsidRPr="00D51EF4">
        <w:rPr>
          <w:lang w:val="en-GB"/>
        </w:rPr>
        <w:t xml:space="preserve"> et al.</w:t>
      </w:r>
      <w:r w:rsidR="00D505E7" w:rsidRPr="00D51EF4">
        <w:rPr>
          <w:lang w:val="en-GB"/>
        </w:rPr>
        <w:t xml:space="preserve"> (2008) provide a thorough discussion of the relation between earnings quality and governance structures. For instance, Francis et al. (2008) claim that firms with greater board independence, greater ownership of stocks, and greater external monitoring have </w:t>
      </w:r>
      <w:r w:rsidR="00CA23E1" w:rsidRPr="00D51EF4">
        <w:rPr>
          <w:lang w:val="en-GB"/>
        </w:rPr>
        <w:t xml:space="preserve">higher </w:t>
      </w:r>
      <w:r w:rsidR="00D505E7" w:rsidRPr="00D51EF4">
        <w:rPr>
          <w:lang w:val="en-GB"/>
        </w:rPr>
        <w:t>earnings quality</w:t>
      </w:r>
      <w:r w:rsidR="00412CE7" w:rsidRPr="00D51EF4">
        <w:rPr>
          <w:lang w:val="en-GB"/>
        </w:rPr>
        <w:t xml:space="preserve"> (cf. Dechow et al.</w:t>
      </w:r>
      <w:r w:rsidR="00D027BF" w:rsidRPr="00D51EF4">
        <w:rPr>
          <w:lang w:val="en-GB"/>
        </w:rPr>
        <w:t xml:space="preserve"> 2010)</w:t>
      </w:r>
      <w:r w:rsidR="00D505E7" w:rsidRPr="00D51EF4">
        <w:rPr>
          <w:lang w:val="en-GB"/>
        </w:rPr>
        <w:t xml:space="preserve">. </w:t>
      </w:r>
      <w:r w:rsidR="00A76E9F" w:rsidRPr="00D51EF4">
        <w:rPr>
          <w:lang w:val="en-GB"/>
        </w:rPr>
        <w:t>Therefore, a</w:t>
      </w:r>
      <w:r w:rsidR="00E82ACC" w:rsidRPr="00D51EF4">
        <w:rPr>
          <w:lang w:val="en-GB"/>
        </w:rPr>
        <w:t xml:space="preserve">lthough </w:t>
      </w:r>
      <w:r w:rsidR="00A56400" w:rsidRPr="00D51EF4">
        <w:rPr>
          <w:lang w:val="en-GB"/>
        </w:rPr>
        <w:t xml:space="preserve">the opportunistic behaviour hypothesis </w:t>
      </w:r>
      <w:r w:rsidR="00A76E9F" w:rsidRPr="00D51EF4">
        <w:rPr>
          <w:lang w:val="en-GB"/>
        </w:rPr>
        <w:t>possibly provides an accurate description of</w:t>
      </w:r>
      <w:r w:rsidR="00A56400" w:rsidRPr="00D51EF4">
        <w:rPr>
          <w:lang w:val="en-GB"/>
        </w:rPr>
        <w:t xml:space="preserve"> the incentives </w:t>
      </w:r>
      <w:r w:rsidR="00CA23E1" w:rsidRPr="00D51EF4">
        <w:rPr>
          <w:lang w:val="en-GB"/>
        </w:rPr>
        <w:t>for</w:t>
      </w:r>
      <w:r w:rsidR="00A56400" w:rsidRPr="00D51EF4">
        <w:rPr>
          <w:lang w:val="en-GB"/>
        </w:rPr>
        <w:t xml:space="preserve"> for-profit organi</w:t>
      </w:r>
      <w:r w:rsidR="00D411BD" w:rsidRPr="00D51EF4">
        <w:rPr>
          <w:lang w:val="en-GB"/>
        </w:rPr>
        <w:t>s</w:t>
      </w:r>
      <w:r w:rsidR="00A56400" w:rsidRPr="00D51EF4">
        <w:rPr>
          <w:lang w:val="en-GB"/>
        </w:rPr>
        <w:t>ations, stronger governance mechanisms in for-profit MFIs</w:t>
      </w:r>
      <w:r w:rsidR="00AA4E5E" w:rsidRPr="00D51EF4">
        <w:rPr>
          <w:lang w:val="en-GB"/>
        </w:rPr>
        <w:t xml:space="preserve"> (Galema et al. </w:t>
      </w:r>
      <w:r w:rsidR="001A18ED" w:rsidRPr="00D51EF4">
        <w:rPr>
          <w:lang w:val="en-GB"/>
        </w:rPr>
        <w:t>2012</w:t>
      </w:r>
      <w:r w:rsidR="00AA4E5E" w:rsidRPr="00D51EF4">
        <w:rPr>
          <w:lang w:val="en-GB"/>
        </w:rPr>
        <w:t>)</w:t>
      </w:r>
      <w:r w:rsidR="00A56400" w:rsidRPr="00D51EF4">
        <w:rPr>
          <w:lang w:val="en-GB"/>
        </w:rPr>
        <w:t xml:space="preserve"> </w:t>
      </w:r>
      <w:r w:rsidR="00CA23E1" w:rsidRPr="00D51EF4">
        <w:rPr>
          <w:lang w:val="en-GB"/>
        </w:rPr>
        <w:t xml:space="preserve">may </w:t>
      </w:r>
      <w:r w:rsidR="00A56400" w:rsidRPr="00D51EF4">
        <w:rPr>
          <w:lang w:val="en-GB"/>
        </w:rPr>
        <w:t>limit the possibilit</w:t>
      </w:r>
      <w:r w:rsidR="00CA23E1" w:rsidRPr="00D51EF4">
        <w:rPr>
          <w:lang w:val="en-GB"/>
        </w:rPr>
        <w:t>y</w:t>
      </w:r>
      <w:r w:rsidR="00A56400" w:rsidRPr="00D51EF4">
        <w:rPr>
          <w:lang w:val="en-GB"/>
        </w:rPr>
        <w:t xml:space="preserve"> </w:t>
      </w:r>
      <w:r w:rsidR="00CA23E1" w:rsidRPr="00D51EF4">
        <w:rPr>
          <w:lang w:val="en-GB"/>
        </w:rPr>
        <w:t xml:space="preserve">of </w:t>
      </w:r>
      <w:r w:rsidR="00A56400" w:rsidRPr="00D51EF4">
        <w:rPr>
          <w:lang w:val="en-GB"/>
        </w:rPr>
        <w:t xml:space="preserve">earnings management </w:t>
      </w:r>
      <w:r w:rsidR="00CA23E1" w:rsidRPr="00D51EF4">
        <w:rPr>
          <w:lang w:val="en-GB"/>
        </w:rPr>
        <w:t>such</w:t>
      </w:r>
      <w:r w:rsidR="00A56400" w:rsidRPr="00D51EF4">
        <w:rPr>
          <w:lang w:val="en-GB"/>
        </w:rPr>
        <w:t xml:space="preserve"> that the</w:t>
      </w:r>
      <w:r w:rsidR="00CA23E1" w:rsidRPr="00D51EF4">
        <w:rPr>
          <w:lang w:val="en-GB"/>
        </w:rPr>
        <w:t xml:space="preserve"> for-profit MFIs</w:t>
      </w:r>
      <w:r w:rsidR="00A56400" w:rsidRPr="00D51EF4">
        <w:rPr>
          <w:lang w:val="en-GB"/>
        </w:rPr>
        <w:t xml:space="preserve"> do not </w:t>
      </w:r>
      <w:r w:rsidR="00CA23E1" w:rsidRPr="00D51EF4">
        <w:rPr>
          <w:lang w:val="en-GB"/>
        </w:rPr>
        <w:t xml:space="preserve">have </w:t>
      </w:r>
      <w:r w:rsidR="00A56400" w:rsidRPr="00D51EF4">
        <w:rPr>
          <w:lang w:val="en-GB"/>
        </w:rPr>
        <w:t xml:space="preserve">lower earnings quality than their </w:t>
      </w:r>
      <w:proofErr w:type="spellStart"/>
      <w:r w:rsidR="00A56400" w:rsidRPr="00D51EF4">
        <w:rPr>
          <w:lang w:val="en-GB"/>
        </w:rPr>
        <w:t>nonprofit</w:t>
      </w:r>
      <w:proofErr w:type="spellEnd"/>
      <w:r w:rsidR="00A56400" w:rsidRPr="00D51EF4">
        <w:rPr>
          <w:lang w:val="en-GB"/>
        </w:rPr>
        <w:t xml:space="preserve"> counterparts. </w:t>
      </w:r>
    </w:p>
    <w:p w14:paraId="6D495B14" w14:textId="77777777" w:rsidR="00763206" w:rsidRPr="00D51EF4" w:rsidRDefault="00763206" w:rsidP="00F65B35">
      <w:pPr>
        <w:spacing w:line="480" w:lineRule="auto"/>
        <w:jc w:val="both"/>
        <w:rPr>
          <w:lang w:val="en-GB"/>
        </w:rPr>
      </w:pPr>
    </w:p>
    <w:p w14:paraId="3237F1EC" w14:textId="312B2063" w:rsidR="00CA2D87" w:rsidRPr="00D51EF4" w:rsidRDefault="00CA23E1" w:rsidP="00F65B35">
      <w:pPr>
        <w:spacing w:line="480" w:lineRule="auto"/>
        <w:jc w:val="both"/>
        <w:rPr>
          <w:lang w:val="en-GB"/>
        </w:rPr>
      </w:pPr>
      <w:r w:rsidRPr="00D51EF4">
        <w:rPr>
          <w:lang w:val="en-GB"/>
        </w:rPr>
        <w:t>Because of</w:t>
      </w:r>
      <w:r w:rsidR="00CA2D87" w:rsidRPr="00D51EF4">
        <w:rPr>
          <w:lang w:val="en-GB"/>
        </w:rPr>
        <w:t xml:space="preserve"> the scarce and contradictory empirical research </w:t>
      </w:r>
      <w:r w:rsidRPr="00D51EF4">
        <w:rPr>
          <w:lang w:val="en-GB"/>
        </w:rPr>
        <w:t>and the</w:t>
      </w:r>
      <w:r w:rsidR="00CA2D87" w:rsidRPr="00D51EF4">
        <w:rPr>
          <w:lang w:val="en-GB"/>
        </w:rPr>
        <w:t xml:space="preserve"> competing theoretical models, we </w:t>
      </w:r>
      <w:r w:rsidR="000E5CF0" w:rsidRPr="00D51EF4">
        <w:rPr>
          <w:lang w:val="en-GB"/>
        </w:rPr>
        <w:t>will</w:t>
      </w:r>
      <w:r w:rsidRPr="00D51EF4">
        <w:rPr>
          <w:lang w:val="en-GB"/>
        </w:rPr>
        <w:t xml:space="preserve"> not propose</w:t>
      </w:r>
      <w:r w:rsidR="00F83330" w:rsidRPr="00D51EF4">
        <w:rPr>
          <w:lang w:val="en-GB"/>
        </w:rPr>
        <w:t xml:space="preserve"> an</w:t>
      </w:r>
      <w:r w:rsidR="00CA2D87" w:rsidRPr="00D51EF4">
        <w:rPr>
          <w:lang w:val="en-GB"/>
        </w:rPr>
        <w:t xml:space="preserve"> alternative hypothesis </w:t>
      </w:r>
      <w:r w:rsidRPr="00D51EF4">
        <w:rPr>
          <w:lang w:val="en-GB"/>
        </w:rPr>
        <w:t>regarding</w:t>
      </w:r>
      <w:r w:rsidR="00CA2D87" w:rsidRPr="00D51EF4">
        <w:rPr>
          <w:lang w:val="en-GB"/>
        </w:rPr>
        <w:t xml:space="preserve"> the </w:t>
      </w:r>
      <w:r w:rsidRPr="00D51EF4">
        <w:rPr>
          <w:lang w:val="en-GB"/>
        </w:rPr>
        <w:t xml:space="preserve">relative </w:t>
      </w:r>
      <w:r w:rsidR="00CA2D87" w:rsidRPr="00D51EF4">
        <w:rPr>
          <w:lang w:val="en-GB"/>
        </w:rPr>
        <w:t xml:space="preserve">earnings quality of for-profit </w:t>
      </w:r>
      <w:r w:rsidRPr="00D51EF4">
        <w:rPr>
          <w:lang w:val="en-GB"/>
        </w:rPr>
        <w:lastRenderedPageBreak/>
        <w:t xml:space="preserve">and </w:t>
      </w:r>
      <w:proofErr w:type="spellStart"/>
      <w:r w:rsidR="00CA2D87" w:rsidRPr="00D51EF4">
        <w:rPr>
          <w:lang w:val="en-GB"/>
        </w:rPr>
        <w:t>nonprofit</w:t>
      </w:r>
      <w:proofErr w:type="spellEnd"/>
      <w:r w:rsidR="00CA2D87" w:rsidRPr="00D51EF4">
        <w:rPr>
          <w:lang w:val="en-GB"/>
        </w:rPr>
        <w:t xml:space="preserve"> MFIs.</w:t>
      </w:r>
      <w:r w:rsidR="00F83330" w:rsidRPr="00D51EF4">
        <w:rPr>
          <w:lang w:val="en-GB"/>
        </w:rPr>
        <w:t xml:space="preserve"> T</w:t>
      </w:r>
      <w:r w:rsidR="00CA2D87" w:rsidRPr="00D51EF4">
        <w:rPr>
          <w:lang w:val="en-GB"/>
        </w:rPr>
        <w:t xml:space="preserve">o the best of our knowledge, </w:t>
      </w:r>
      <w:r w:rsidR="00F83330" w:rsidRPr="00D51EF4">
        <w:rPr>
          <w:lang w:val="en-GB"/>
        </w:rPr>
        <w:t xml:space="preserve">our study is </w:t>
      </w:r>
      <w:r w:rsidR="00CA2D87" w:rsidRPr="00D51EF4">
        <w:rPr>
          <w:lang w:val="en-GB"/>
        </w:rPr>
        <w:t>the first within this line of research</w:t>
      </w:r>
      <w:r w:rsidR="00174A34">
        <w:rPr>
          <w:lang w:val="en-GB"/>
        </w:rPr>
        <w:t>.</w:t>
      </w:r>
      <w:r w:rsidR="00B266D8">
        <w:rPr>
          <w:lang w:val="en-GB"/>
        </w:rPr>
        <w:t xml:space="preserve"> </w:t>
      </w:r>
      <w:r w:rsidRPr="00D51EF4">
        <w:rPr>
          <w:lang w:val="en-GB"/>
        </w:rPr>
        <w:t xml:space="preserve">We </w:t>
      </w:r>
      <w:r w:rsidR="00F83330" w:rsidRPr="00D51EF4">
        <w:rPr>
          <w:lang w:val="en-GB"/>
        </w:rPr>
        <w:t>begin</w:t>
      </w:r>
      <w:r w:rsidR="00CA2D87" w:rsidRPr="00D51EF4">
        <w:rPr>
          <w:lang w:val="en-GB"/>
        </w:rPr>
        <w:t xml:space="preserve"> with the null hypothesis </w:t>
      </w:r>
      <w:r w:rsidRPr="00D51EF4">
        <w:rPr>
          <w:lang w:val="en-GB"/>
        </w:rPr>
        <w:t>that there is</w:t>
      </w:r>
      <w:r w:rsidR="00CA2D87" w:rsidRPr="00D51EF4">
        <w:rPr>
          <w:lang w:val="en-GB"/>
        </w:rPr>
        <w:t xml:space="preserve"> no difference in earnings quality between the two </w:t>
      </w:r>
      <w:r w:rsidRPr="00D51EF4">
        <w:rPr>
          <w:lang w:val="en-GB"/>
        </w:rPr>
        <w:t xml:space="preserve">types </w:t>
      </w:r>
      <w:r w:rsidR="00CA2D87" w:rsidRPr="00D51EF4">
        <w:rPr>
          <w:lang w:val="en-GB"/>
        </w:rPr>
        <w:t>of organi</w:t>
      </w:r>
      <w:r w:rsidR="00D411BD" w:rsidRPr="00D51EF4">
        <w:rPr>
          <w:lang w:val="en-GB"/>
        </w:rPr>
        <w:t>s</w:t>
      </w:r>
      <w:r w:rsidR="00CA2D87" w:rsidRPr="00D51EF4">
        <w:rPr>
          <w:lang w:val="en-GB"/>
        </w:rPr>
        <w:t xml:space="preserve">ations. </w:t>
      </w:r>
    </w:p>
    <w:p w14:paraId="2748B4B1" w14:textId="77777777" w:rsidR="00F86418" w:rsidRPr="00D51EF4" w:rsidRDefault="00F86418" w:rsidP="00F65B35">
      <w:pPr>
        <w:spacing w:line="480" w:lineRule="auto"/>
        <w:jc w:val="both"/>
        <w:rPr>
          <w:lang w:val="en-GB"/>
        </w:rPr>
      </w:pPr>
    </w:p>
    <w:p w14:paraId="2B48A87E" w14:textId="77777777" w:rsidR="00F86418" w:rsidRPr="00D51EF4" w:rsidRDefault="00F86418" w:rsidP="00F65B35">
      <w:pPr>
        <w:spacing w:line="480" w:lineRule="auto"/>
        <w:jc w:val="both"/>
        <w:rPr>
          <w:i/>
          <w:lang w:val="en-GB"/>
        </w:rPr>
      </w:pPr>
      <w:r w:rsidRPr="00D51EF4">
        <w:rPr>
          <w:i/>
          <w:lang w:val="en-GB"/>
        </w:rPr>
        <w:t>2.2. Research Design</w:t>
      </w:r>
    </w:p>
    <w:p w14:paraId="1D74BA79" w14:textId="3FB9A5B6" w:rsidR="00CE6A15" w:rsidRPr="00D51EF4" w:rsidRDefault="00F86418" w:rsidP="00F65B35">
      <w:pPr>
        <w:autoSpaceDE w:val="0"/>
        <w:autoSpaceDN w:val="0"/>
        <w:adjustRightInd w:val="0"/>
        <w:spacing w:line="480" w:lineRule="auto"/>
        <w:jc w:val="both"/>
        <w:rPr>
          <w:lang w:val="en-GB"/>
        </w:rPr>
      </w:pPr>
      <w:r w:rsidRPr="00D51EF4">
        <w:rPr>
          <w:lang w:val="en-GB"/>
        </w:rPr>
        <w:t>Earnings quality research seeks to identify whether reported earnings are representative of the long</w:t>
      </w:r>
      <w:r w:rsidR="00F83330" w:rsidRPr="00D51EF4">
        <w:rPr>
          <w:lang w:val="en-GB"/>
        </w:rPr>
        <w:t>-</w:t>
      </w:r>
      <w:r w:rsidRPr="00D51EF4">
        <w:rPr>
          <w:lang w:val="en-GB"/>
        </w:rPr>
        <w:t xml:space="preserve">term earning ability of a company </w:t>
      </w:r>
      <w:r w:rsidR="00792609" w:rsidRPr="00D51EF4">
        <w:rPr>
          <w:lang w:val="en-GB"/>
        </w:rPr>
        <w:t>or organisation (</w:t>
      </w:r>
      <w:r w:rsidRPr="00D51EF4">
        <w:rPr>
          <w:lang w:val="en-GB"/>
        </w:rPr>
        <w:t xml:space="preserve">Melumad and Nissim 2008). </w:t>
      </w:r>
      <w:r w:rsidR="00CE6A15" w:rsidRPr="00D51EF4">
        <w:rPr>
          <w:lang w:val="en-GB"/>
        </w:rPr>
        <w:t xml:space="preserve">We evaluate the usefulness of current earnings for forecasting future earnings </w:t>
      </w:r>
      <w:r w:rsidR="00386C23" w:rsidRPr="00D51EF4">
        <w:rPr>
          <w:lang w:val="en-GB"/>
        </w:rPr>
        <w:t xml:space="preserve">using </w:t>
      </w:r>
      <w:r w:rsidR="00CE6A15" w:rsidRPr="00D51EF4">
        <w:rPr>
          <w:lang w:val="en-GB"/>
        </w:rPr>
        <w:t>the earnings numbers’ smoothness, persistence and</w:t>
      </w:r>
      <w:r w:rsidR="00591686" w:rsidRPr="00D51EF4">
        <w:rPr>
          <w:lang w:val="en-GB"/>
        </w:rPr>
        <w:t xml:space="preserve"> predictability (Francis et al.</w:t>
      </w:r>
      <w:r w:rsidR="00CE6A15" w:rsidRPr="00D51EF4">
        <w:rPr>
          <w:lang w:val="en-GB"/>
        </w:rPr>
        <w:t xml:space="preserve"> 2004). The standard deviation of earnings scaled by total assets is used as our metric of earnings smoothness </w:t>
      </w:r>
      <w:r w:rsidR="00CE6A15" w:rsidRPr="00D51EF4">
        <w:rPr>
          <w:lang w:val="en-GB"/>
        </w:rPr>
        <w:fldChar w:fldCharType="begin"/>
      </w:r>
      <w:r w:rsidR="00CE6A15" w:rsidRPr="00D51EF4">
        <w:rPr>
          <w:lang w:val="en-GB"/>
        </w:rPr>
        <w:instrText xml:space="preserve"> ADDIN EN.CITE &lt;EndNote&gt;&lt;Cite&gt;&lt;Author&gt;Dechow&lt;/Author&gt;&lt;Year&gt;2002&lt;/Year&gt;&lt;RecNum&gt;742&lt;/RecNum&gt;&lt;DisplayText&gt;(Dechow and Dichev 2002)&lt;/DisplayText&gt;&lt;record&gt;&lt;rec-number&gt;742&lt;/rec-number&gt;&lt;foreign-keys&gt;&lt;key app="EN" db-id="f2drrsve4s2fpaereeqvx9vesp5rvf9p0v0z"&gt;742&lt;/key&gt;&lt;/foreign-keys&gt;&lt;ref-type name="Journal Article"&gt;17&lt;/ref-type&gt;&lt;contributors&gt;&lt;authors&gt;&lt;author&gt;Dechow, Patricia M.&lt;/author&gt;&lt;author&gt;Dichev, Ilia D.&lt;/author&gt;&lt;/authors&gt;&lt;/contributors&gt;&lt;titles&gt;&lt;title&gt;The Quality of Accruals and Earnings: The Role of Accrual Estimation Errors&lt;/title&gt;&lt;secondary-title&gt;Accounting Review&lt;/secondary-title&gt;&lt;/titles&gt;&lt;periodical&gt;&lt;full-title&gt;Accounting Review&lt;/full-title&gt;&lt;/periodical&gt;&lt;pages&gt;35&lt;/pages&gt;&lt;volume&gt;77&lt;/volume&gt;&lt;number&gt;4&lt;/number&gt;&lt;keywords&gt;&lt;keyword&gt;ACCOUNTING&lt;/keyword&gt;&lt;keyword&gt;FINANCIAL futures&lt;/keyword&gt;&lt;keyword&gt;WORKING capital&lt;/keyword&gt;&lt;keyword&gt;ACCRUAL basis accounting&lt;/keyword&gt;&lt;keyword&gt;CASH flow&lt;/keyword&gt;&lt;keyword&gt;EARNINGS forecasting&lt;/keyword&gt;&lt;keyword&gt;VOLATILITY (Finance)&lt;/keyword&gt;&lt;keyword&gt;FINANCIAL performance&lt;/keyword&gt;&lt;keyword&gt;earnings persistence.&lt;/keyword&gt;&lt;keyword&gt;earnings quality&lt;/keyword&gt;&lt;keyword&gt;estimation errors&lt;/keyword&gt;&lt;keyword&gt;quality of accruals&lt;/keyword&gt;&lt;/keywords&gt;&lt;dates&gt;&lt;year&gt;2002&lt;/year&gt;&lt;/dates&gt;&lt;publisher&gt;American Accounting Association&lt;/publisher&gt;&lt;isbn&gt;00014826&lt;/isbn&gt;&lt;work-type&gt;Article&lt;/work-type&gt;&lt;urls&gt;&lt;related-urls&gt;&lt;url&gt;http://search.ebscohost.com/login.aspx?direct=true&amp;amp;db=bth&amp;amp;AN=9092594&amp;amp;loginpage=login.asp&amp;amp;site=ehost-live&lt;/url&gt;&lt;/related-urls&gt;&lt;/urls&gt;&lt;remote-database-name&gt;bth&lt;/remote-database-name&gt;&lt;remote-database-provider&gt;EBSCOhost&lt;/remote-database-provider&gt;&lt;/record&gt;&lt;/Cite&gt;&lt;/EndNote&gt;</w:instrText>
      </w:r>
      <w:r w:rsidR="00CE6A15" w:rsidRPr="00D51EF4">
        <w:rPr>
          <w:lang w:val="en-GB"/>
        </w:rPr>
        <w:fldChar w:fldCharType="separate"/>
      </w:r>
      <w:r w:rsidR="00CE6A15" w:rsidRPr="00D51EF4">
        <w:rPr>
          <w:lang w:val="en-GB"/>
        </w:rPr>
        <w:t>(</w:t>
      </w:r>
      <w:hyperlink w:anchor="_ENREF_11" w:tooltip="Dechow, 2002 #742" w:history="1">
        <w:r w:rsidR="00CE6A15" w:rsidRPr="00D51EF4">
          <w:rPr>
            <w:lang w:val="en-GB"/>
          </w:rPr>
          <w:t>Dechow and Dichev 2002</w:t>
        </w:r>
      </w:hyperlink>
      <w:r w:rsidR="00CE6A15" w:rsidRPr="00D51EF4">
        <w:rPr>
          <w:lang w:val="en-GB"/>
        </w:rPr>
        <w:t>; Barth et al. 2008)</w:t>
      </w:r>
      <w:r w:rsidR="00CE6A15" w:rsidRPr="00D51EF4">
        <w:rPr>
          <w:lang w:val="en-GB"/>
        </w:rPr>
        <w:fldChar w:fldCharType="end"/>
      </w:r>
      <w:r w:rsidR="00CE6A15" w:rsidRPr="00D51EF4">
        <w:rPr>
          <w:lang w:val="en-GB"/>
        </w:rPr>
        <w:t xml:space="preserve">. A smaller standard deviation </w:t>
      </w:r>
      <w:r w:rsidR="00386C23" w:rsidRPr="00D51EF4">
        <w:rPr>
          <w:lang w:val="en-GB"/>
        </w:rPr>
        <w:t xml:space="preserve">indicates </w:t>
      </w:r>
      <w:r w:rsidR="00CE6A15" w:rsidRPr="00D51EF4">
        <w:rPr>
          <w:lang w:val="en-GB"/>
        </w:rPr>
        <w:t>that earnings are more stable and easier to forecast</w:t>
      </w:r>
      <w:r w:rsidR="00386C23" w:rsidRPr="00D51EF4">
        <w:rPr>
          <w:lang w:val="en-GB"/>
        </w:rPr>
        <w:t>; thus,</w:t>
      </w:r>
      <w:r w:rsidR="00CE6A15" w:rsidRPr="00D51EF4">
        <w:rPr>
          <w:lang w:val="en-GB"/>
        </w:rPr>
        <w:t xml:space="preserve"> they are of higher quality. Persistence </w:t>
      </w:r>
      <w:proofErr w:type="gramStart"/>
      <w:r w:rsidR="00CE6A15" w:rsidRPr="00D51EF4">
        <w:rPr>
          <w:lang w:val="en-GB"/>
        </w:rPr>
        <w:t>is measured</w:t>
      </w:r>
      <w:proofErr w:type="gramEnd"/>
      <w:r w:rsidR="00CE6A15" w:rsidRPr="00D51EF4">
        <w:rPr>
          <w:lang w:val="en-GB"/>
        </w:rPr>
        <w:t xml:space="preserve"> as the slope coefficient </w:t>
      </w:r>
      <w:r w:rsidR="00386C23" w:rsidRPr="00D51EF4">
        <w:rPr>
          <w:lang w:val="en-GB"/>
        </w:rPr>
        <w:t xml:space="preserve">calculated </w:t>
      </w:r>
      <w:r w:rsidR="00CE6A15" w:rsidRPr="00D51EF4">
        <w:rPr>
          <w:lang w:val="en-GB"/>
        </w:rPr>
        <w:t>from a regression of current earnings on lagged earnings, whereas the explanatory power from the same regression is our predictability measure (Francis et al. 2004). A higher slope coefficient and a larger adjusted R</w:t>
      </w:r>
      <w:r w:rsidR="00CE6A15" w:rsidRPr="00D51EF4">
        <w:rPr>
          <w:vertAlign w:val="superscript"/>
          <w:lang w:val="en-GB"/>
        </w:rPr>
        <w:t>2</w:t>
      </w:r>
      <w:r w:rsidR="00386C23" w:rsidRPr="00D51EF4">
        <w:rPr>
          <w:lang w:val="en-GB"/>
        </w:rPr>
        <w:t xml:space="preserve"> (</w:t>
      </w:r>
      <w:r w:rsidR="00CE6A15" w:rsidRPr="00D51EF4">
        <w:rPr>
          <w:lang w:val="en-GB"/>
        </w:rPr>
        <w:t>i.e., higher persistence and predictability, respectively</w:t>
      </w:r>
      <w:r w:rsidR="00386C23" w:rsidRPr="00D51EF4">
        <w:rPr>
          <w:lang w:val="en-GB"/>
        </w:rPr>
        <w:t>)</w:t>
      </w:r>
      <w:r w:rsidR="00CE6A15" w:rsidRPr="00D51EF4">
        <w:rPr>
          <w:lang w:val="en-GB"/>
        </w:rPr>
        <w:t xml:space="preserve"> are interpreted as measures of higher earnings quality</w:t>
      </w:r>
      <w:r w:rsidR="00386C23" w:rsidRPr="00D51EF4">
        <w:rPr>
          <w:lang w:val="en-GB"/>
        </w:rPr>
        <w:t xml:space="preserve"> </w:t>
      </w:r>
      <w:r w:rsidR="00CE6A15" w:rsidRPr="00D51EF4">
        <w:rPr>
          <w:lang w:val="en-GB"/>
        </w:rPr>
        <w:t xml:space="preserve">because </w:t>
      </w:r>
      <w:r w:rsidR="00386C23" w:rsidRPr="00D51EF4">
        <w:rPr>
          <w:lang w:val="en-GB"/>
        </w:rPr>
        <w:t xml:space="preserve">then the </w:t>
      </w:r>
      <w:r w:rsidR="00CE6A15" w:rsidRPr="00D51EF4">
        <w:rPr>
          <w:lang w:val="en-GB"/>
        </w:rPr>
        <w:t>current earnings will provide us with more information about future earnings, or</w:t>
      </w:r>
      <w:r w:rsidR="00386C23" w:rsidRPr="00D51EF4">
        <w:rPr>
          <w:lang w:val="en-GB"/>
        </w:rPr>
        <w:t>,</w:t>
      </w:r>
      <w:r w:rsidR="00CE6A15" w:rsidRPr="00D51EF4">
        <w:rPr>
          <w:lang w:val="en-GB"/>
        </w:rPr>
        <w:t xml:space="preserve"> more general</w:t>
      </w:r>
      <w:r w:rsidR="00386C23" w:rsidRPr="00D51EF4">
        <w:rPr>
          <w:lang w:val="en-GB"/>
        </w:rPr>
        <w:t>ly</w:t>
      </w:r>
      <w:r w:rsidR="00CE6A15" w:rsidRPr="00D51EF4">
        <w:rPr>
          <w:lang w:val="en-GB"/>
        </w:rPr>
        <w:t>, future financial performance</w:t>
      </w:r>
      <w:r w:rsidR="00386C23" w:rsidRPr="00D51EF4">
        <w:rPr>
          <w:lang w:val="en-GB"/>
        </w:rPr>
        <w:t>.</w:t>
      </w:r>
    </w:p>
    <w:p w14:paraId="22227F7D" w14:textId="77777777" w:rsidR="00CE6A15" w:rsidRPr="00D51EF4" w:rsidRDefault="00CE6A15" w:rsidP="00F65B35">
      <w:pPr>
        <w:autoSpaceDE w:val="0"/>
        <w:autoSpaceDN w:val="0"/>
        <w:adjustRightInd w:val="0"/>
        <w:spacing w:line="480" w:lineRule="auto"/>
        <w:jc w:val="both"/>
        <w:rPr>
          <w:lang w:val="en-GB"/>
        </w:rPr>
      </w:pPr>
    </w:p>
    <w:p w14:paraId="2081957C" w14:textId="50170F62" w:rsidR="00CE6A15" w:rsidRPr="00D51EF4" w:rsidRDefault="00CE6A15" w:rsidP="00CE6A15">
      <w:pPr>
        <w:autoSpaceDE w:val="0"/>
        <w:autoSpaceDN w:val="0"/>
        <w:adjustRightInd w:val="0"/>
        <w:spacing w:line="480" w:lineRule="auto"/>
        <w:jc w:val="both"/>
        <w:rPr>
          <w:lang w:val="en-GB"/>
        </w:rPr>
      </w:pPr>
      <w:r w:rsidRPr="00D51EF4">
        <w:rPr>
          <w:lang w:val="en-GB"/>
        </w:rPr>
        <w:t xml:space="preserve">Note that the measures of smoothness, persistence, and predictability </w:t>
      </w:r>
      <w:proofErr w:type="gramStart"/>
      <w:r w:rsidRPr="00D51EF4">
        <w:rPr>
          <w:lang w:val="en-GB"/>
        </w:rPr>
        <w:t>are expected to be related</w:t>
      </w:r>
      <w:proofErr w:type="gramEnd"/>
      <w:r w:rsidRPr="00D51EF4">
        <w:rPr>
          <w:lang w:val="en-GB"/>
        </w:rPr>
        <w:t xml:space="preserve">, </w:t>
      </w:r>
      <w:r w:rsidR="00035B72" w:rsidRPr="00D51EF4">
        <w:rPr>
          <w:lang w:val="en-GB"/>
        </w:rPr>
        <w:t xml:space="preserve">but </w:t>
      </w:r>
      <w:r w:rsidRPr="00D51EF4">
        <w:rPr>
          <w:lang w:val="en-GB"/>
        </w:rPr>
        <w:t xml:space="preserve">they are not identical. Smoothness measures earnings stability, persistence measures the degree to which future earnings equal current earnings, and predictability measures the proportion of the variance in future earnings that </w:t>
      </w:r>
      <w:proofErr w:type="gramStart"/>
      <w:r w:rsidRPr="00D51EF4">
        <w:rPr>
          <w:lang w:val="en-GB"/>
        </w:rPr>
        <w:t>can be explained</w:t>
      </w:r>
      <w:proofErr w:type="gramEnd"/>
      <w:r w:rsidRPr="00D51EF4">
        <w:rPr>
          <w:lang w:val="en-GB"/>
        </w:rPr>
        <w:t xml:space="preserve"> using current earnings.</w:t>
      </w:r>
    </w:p>
    <w:p w14:paraId="26507CEE" w14:textId="77777777" w:rsidR="00CE6A15" w:rsidRPr="00D51EF4" w:rsidRDefault="00CE6A15" w:rsidP="00CE6A15">
      <w:pPr>
        <w:autoSpaceDE w:val="0"/>
        <w:autoSpaceDN w:val="0"/>
        <w:adjustRightInd w:val="0"/>
        <w:spacing w:line="480" w:lineRule="auto"/>
        <w:jc w:val="both"/>
        <w:rPr>
          <w:lang w:val="en-GB"/>
        </w:rPr>
      </w:pPr>
    </w:p>
    <w:p w14:paraId="78D589DA" w14:textId="50EA0EF8" w:rsidR="00CE6A15" w:rsidRPr="00D51EF4" w:rsidRDefault="00CE6A15" w:rsidP="00CE6A15">
      <w:pPr>
        <w:autoSpaceDE w:val="0"/>
        <w:autoSpaceDN w:val="0"/>
        <w:adjustRightInd w:val="0"/>
        <w:spacing w:line="480" w:lineRule="auto"/>
        <w:jc w:val="both"/>
        <w:rPr>
          <w:lang w:val="en-GB"/>
        </w:rPr>
      </w:pPr>
      <w:r w:rsidRPr="00D51EF4">
        <w:rPr>
          <w:lang w:val="en-GB"/>
        </w:rPr>
        <w:lastRenderedPageBreak/>
        <w:t xml:space="preserve">A certain degree of subjectivity </w:t>
      </w:r>
      <w:proofErr w:type="gramStart"/>
      <w:r w:rsidRPr="00D51EF4">
        <w:rPr>
          <w:lang w:val="en-GB"/>
        </w:rPr>
        <w:t>is generally applied</w:t>
      </w:r>
      <w:proofErr w:type="gramEnd"/>
      <w:r w:rsidRPr="00D51EF4">
        <w:rPr>
          <w:lang w:val="en-GB"/>
        </w:rPr>
        <w:t xml:space="preserve"> when financial statements are prepared. If the subjectivity </w:t>
      </w:r>
      <w:proofErr w:type="gramStart"/>
      <w:r w:rsidRPr="00D51EF4">
        <w:rPr>
          <w:lang w:val="en-GB"/>
        </w:rPr>
        <w:t>is exercised</w:t>
      </w:r>
      <w:proofErr w:type="gramEnd"/>
      <w:r w:rsidRPr="00D51EF4">
        <w:rPr>
          <w:lang w:val="en-GB"/>
        </w:rPr>
        <w:t xml:space="preserve"> to obtain some sort of private gain, either for the company or for the management, the </w:t>
      </w:r>
      <w:r w:rsidR="000A04E3" w:rsidRPr="00D51EF4">
        <w:rPr>
          <w:lang w:val="en-GB"/>
        </w:rPr>
        <w:t xml:space="preserve">use of the </w:t>
      </w:r>
      <w:r w:rsidRPr="00D51EF4">
        <w:rPr>
          <w:lang w:val="en-GB"/>
        </w:rPr>
        <w:t>subjectivity can be categorised as earnings management (Schipper 1989)</w:t>
      </w:r>
      <w:r w:rsidR="006C41F8" w:rsidRPr="00D51EF4">
        <w:rPr>
          <w:lang w:val="en-GB"/>
        </w:rPr>
        <w:t>. Earnings management</w:t>
      </w:r>
      <w:r w:rsidRPr="00D51EF4">
        <w:rPr>
          <w:lang w:val="en-GB"/>
        </w:rPr>
        <w:t xml:space="preserve"> </w:t>
      </w:r>
      <w:r w:rsidR="005A67C9" w:rsidRPr="00D51EF4">
        <w:rPr>
          <w:lang w:val="en-GB"/>
        </w:rPr>
        <w:t xml:space="preserve">reduces </w:t>
      </w:r>
      <w:r w:rsidR="006C41F8" w:rsidRPr="00D51EF4">
        <w:rPr>
          <w:lang w:val="en-GB"/>
        </w:rPr>
        <w:t>the</w:t>
      </w:r>
      <w:r w:rsidRPr="00D51EF4">
        <w:rPr>
          <w:lang w:val="en-GB"/>
        </w:rPr>
        <w:t xml:space="preserve"> financial reporting</w:t>
      </w:r>
      <w:r w:rsidR="006C41F8" w:rsidRPr="00D51EF4">
        <w:rPr>
          <w:lang w:val="en-GB"/>
        </w:rPr>
        <w:t xml:space="preserve">’s ability to reflect the underlying economics of an entity. The trustworthiness of earnings as a conveyor of important information </w:t>
      </w:r>
      <w:proofErr w:type="gramStart"/>
      <w:r w:rsidR="006C41F8" w:rsidRPr="00D51EF4">
        <w:rPr>
          <w:lang w:val="en-GB"/>
        </w:rPr>
        <w:t>is damaged</w:t>
      </w:r>
      <w:proofErr w:type="gramEnd"/>
      <w:r w:rsidR="00E93B8C" w:rsidRPr="00D51EF4">
        <w:rPr>
          <w:lang w:val="en-GB"/>
        </w:rPr>
        <w:t>;</w:t>
      </w:r>
      <w:r w:rsidR="006C41F8" w:rsidRPr="00D51EF4">
        <w:rPr>
          <w:lang w:val="en-GB"/>
        </w:rPr>
        <w:t xml:space="preserve"> t</w:t>
      </w:r>
      <w:r w:rsidRPr="00D51EF4">
        <w:rPr>
          <w:lang w:val="en-GB"/>
        </w:rPr>
        <w:t>hus</w:t>
      </w:r>
      <w:r w:rsidR="00E93B8C" w:rsidRPr="00D51EF4">
        <w:rPr>
          <w:lang w:val="en-GB"/>
        </w:rPr>
        <w:t>,</w:t>
      </w:r>
      <w:r w:rsidRPr="00D51EF4">
        <w:rPr>
          <w:lang w:val="en-GB"/>
        </w:rPr>
        <w:t xml:space="preserve"> </w:t>
      </w:r>
      <w:r w:rsidR="00E93B8C" w:rsidRPr="00D51EF4">
        <w:rPr>
          <w:lang w:val="en-GB"/>
        </w:rPr>
        <w:t xml:space="preserve">greater </w:t>
      </w:r>
      <w:r w:rsidR="006C41F8" w:rsidRPr="00D51EF4">
        <w:rPr>
          <w:lang w:val="en-GB"/>
        </w:rPr>
        <w:t>earnings management is associated with lower earnings quality</w:t>
      </w:r>
      <w:r w:rsidRPr="00D51EF4">
        <w:rPr>
          <w:lang w:val="en-GB"/>
        </w:rPr>
        <w:t xml:space="preserve">. </w:t>
      </w:r>
      <w:r w:rsidR="006C41F8" w:rsidRPr="00D51EF4">
        <w:rPr>
          <w:lang w:val="en-GB"/>
        </w:rPr>
        <w:t>Therefore</w:t>
      </w:r>
      <w:r w:rsidRPr="00D51EF4">
        <w:rPr>
          <w:lang w:val="en-GB"/>
        </w:rPr>
        <w:t>, an evaluation of earnings quality must also include an assessment of possible earnings management (B</w:t>
      </w:r>
      <w:r w:rsidR="00412CE7" w:rsidRPr="00D51EF4">
        <w:rPr>
          <w:lang w:val="en-GB"/>
        </w:rPr>
        <w:t>arth et al.</w:t>
      </w:r>
      <w:r w:rsidRPr="00D51EF4">
        <w:rPr>
          <w:lang w:val="en-GB"/>
        </w:rPr>
        <w:t xml:space="preserve"> 2008). In this study, we apply three metrics for ea</w:t>
      </w:r>
      <w:r w:rsidR="00412CE7" w:rsidRPr="00D51EF4">
        <w:rPr>
          <w:lang w:val="en-GB"/>
        </w:rPr>
        <w:t>rnings management</w:t>
      </w:r>
      <w:r w:rsidRPr="00D51EF4">
        <w:rPr>
          <w:lang w:val="en-GB"/>
        </w:rPr>
        <w:t>.</w:t>
      </w:r>
    </w:p>
    <w:p w14:paraId="331676C5" w14:textId="77777777" w:rsidR="00CE6A15" w:rsidRPr="00D51EF4" w:rsidRDefault="00CE6A15" w:rsidP="00CE6A15">
      <w:pPr>
        <w:autoSpaceDE w:val="0"/>
        <w:autoSpaceDN w:val="0"/>
        <w:adjustRightInd w:val="0"/>
        <w:spacing w:line="480" w:lineRule="auto"/>
        <w:jc w:val="both"/>
        <w:rPr>
          <w:lang w:val="en-GB"/>
        </w:rPr>
      </w:pPr>
    </w:p>
    <w:p w14:paraId="7FD71FBB" w14:textId="5E86356D" w:rsidR="00CE6A15" w:rsidRPr="00D51EF4" w:rsidRDefault="00CE6A15" w:rsidP="00CE6A15">
      <w:pPr>
        <w:spacing w:line="480" w:lineRule="auto"/>
        <w:jc w:val="both"/>
        <w:rPr>
          <w:lang w:val="en-GB"/>
        </w:rPr>
      </w:pPr>
      <w:r w:rsidRPr="00D51EF4">
        <w:rPr>
          <w:lang w:val="en-GB"/>
        </w:rPr>
        <w:t xml:space="preserve">Following Barth et al. (2008), we </w:t>
      </w:r>
      <w:r w:rsidR="00E93B8C" w:rsidRPr="00D51EF4">
        <w:rPr>
          <w:lang w:val="en-GB"/>
        </w:rPr>
        <w:t xml:space="preserve">use </w:t>
      </w:r>
      <w:r w:rsidRPr="00D51EF4">
        <w:rPr>
          <w:lang w:val="en-GB"/>
        </w:rPr>
        <w:t xml:space="preserve">the standard deviation of the change in earnings scaled by total assets as </w:t>
      </w:r>
      <w:r w:rsidR="001D2794" w:rsidRPr="00D51EF4">
        <w:rPr>
          <w:lang w:val="en-GB"/>
        </w:rPr>
        <w:t>a</w:t>
      </w:r>
      <w:r w:rsidRPr="00D51EF4">
        <w:rPr>
          <w:lang w:val="en-GB"/>
        </w:rPr>
        <w:t xml:space="preserve"> metric for earnings management. A low standard deviation </w:t>
      </w:r>
      <w:r w:rsidR="00591686" w:rsidRPr="00D51EF4">
        <w:rPr>
          <w:lang w:val="en-GB"/>
        </w:rPr>
        <w:t xml:space="preserve">of </w:t>
      </w:r>
      <w:r w:rsidRPr="00D51EF4">
        <w:rPr>
          <w:lang w:val="en-GB"/>
        </w:rPr>
        <w:t xml:space="preserve">the change in earnings is evidence of earnings management. The standard deviation of the change in earnings </w:t>
      </w:r>
      <w:proofErr w:type="gramStart"/>
      <w:r w:rsidRPr="00D51EF4">
        <w:rPr>
          <w:lang w:val="en-GB"/>
        </w:rPr>
        <w:t xml:space="preserve">can also be </w:t>
      </w:r>
      <w:r w:rsidR="00E93B8C" w:rsidRPr="00D51EF4">
        <w:rPr>
          <w:lang w:val="en-GB"/>
        </w:rPr>
        <w:t>considered</w:t>
      </w:r>
      <w:proofErr w:type="gramEnd"/>
      <w:r w:rsidRPr="00D51EF4">
        <w:rPr>
          <w:lang w:val="en-GB"/>
        </w:rPr>
        <w:t xml:space="preserve"> a proxy for earnings smoothness; hence, we complement the analysis with two other measures of earnings management. Prior research has suggested an overrepresentation of small positive earnings </w:t>
      </w:r>
      <w:r w:rsidRPr="00D51EF4">
        <w:rPr>
          <w:lang w:val="en-GB"/>
        </w:rPr>
        <w:fldChar w:fldCharType="begin"/>
      </w:r>
      <w:r w:rsidRPr="00D51EF4">
        <w:rPr>
          <w:lang w:val="en-GB"/>
        </w:rPr>
        <w:instrText xml:space="preserve"> ADDIN EN.CITE &lt;EndNote&gt;&lt;Cite&gt;&lt;Author&gt;Hayn&lt;/Author&gt;&lt;Year&gt;1995&lt;/Year&gt;&lt;RecNum&gt;86&lt;/RecNum&gt;&lt;DisplayText&gt;(Hayn 1995)&lt;/DisplayText&gt;&lt;record&gt;&lt;rec-number&gt;86&lt;/rec-number&gt;&lt;foreign-keys&gt;&lt;key app="EN" db-id="f2drrsve4s2fpaereeqvx9vesp5rvf9p0v0z"&gt;86&lt;/key&gt;&lt;/foreign-keys&gt;&lt;ref-type name="Journal Article"&gt;17&lt;/ref-type&gt;&lt;contributors&gt;&lt;authors&gt;&lt;author&gt;Hayn, Carla&lt;/author&gt;&lt;/authors&gt;&lt;/contributors&gt;&lt;titles&gt;&lt;title&gt;The information content of losses&lt;/title&gt;&lt;secondary-title&gt;Journal of Accounting &amp;amp; Economics&lt;/secondary-title&gt;&lt;/titles&gt;&lt;periodical&gt;&lt;full-title&gt;Journal of Accounting &amp;amp; Economics&lt;/full-title&gt;&lt;/periodical&gt;&lt;pages&gt;125-153&lt;/pages&gt;&lt;volume&gt;20&lt;/volume&gt;&lt;number&gt;2&lt;/number&gt;&lt;keywords&gt;&lt;keyword&gt;BUSINESS losses&lt;/keyword&gt;&lt;keyword&gt;CAPITAL market&lt;/keyword&gt;&lt;keyword&gt;CORPORATE profits&lt;/keyword&gt;&lt;keyword&gt;INVESTMENTS&lt;/keyword&gt;&lt;keyword&gt;LIQUIDATION&lt;/keyword&gt;&lt;keyword&gt;STOCKHOLDERS&lt;/keyword&gt;&lt;/keywords&gt;&lt;dates&gt;&lt;year&gt;1995&lt;/year&gt;&lt;/dates&gt;&lt;publisher&gt;Elsevier Science Publishing Company, Inc.&lt;/publisher&gt;&lt;urls&gt;&lt;related-urls&gt;&lt;url&gt;http://search.epnet.com/login.aspx?direct=true&amp;amp;db=buh&amp;amp;an=12133879&amp;amp;loginpage=Login.asp &lt;/url&gt;&lt;/related-urls&gt;&lt;/urls&gt;&lt;/record&gt;&lt;/Cite&gt;&lt;/EndNote&gt;</w:instrText>
      </w:r>
      <w:r w:rsidRPr="00D51EF4">
        <w:rPr>
          <w:lang w:val="en-GB"/>
        </w:rPr>
        <w:fldChar w:fldCharType="separate"/>
      </w:r>
      <w:r w:rsidRPr="00D51EF4">
        <w:rPr>
          <w:lang w:val="en-GB"/>
        </w:rPr>
        <w:t>(</w:t>
      </w:r>
      <w:hyperlink w:anchor="_ENREF_24" w:tooltip="Hayn, 1995 #86" w:history="1">
        <w:r w:rsidRPr="00D51EF4">
          <w:rPr>
            <w:lang w:val="en-GB"/>
          </w:rPr>
          <w:t>Hayn 1995</w:t>
        </w:r>
      </w:hyperlink>
      <w:r w:rsidRPr="00D51EF4">
        <w:rPr>
          <w:lang w:val="en-GB"/>
        </w:rPr>
        <w:t>)</w:t>
      </w:r>
      <w:r w:rsidRPr="00D51EF4">
        <w:rPr>
          <w:lang w:val="en-GB"/>
        </w:rPr>
        <w:fldChar w:fldCharType="end"/>
      </w:r>
      <w:r w:rsidRPr="00D51EF4">
        <w:rPr>
          <w:lang w:val="en-GB"/>
        </w:rPr>
        <w:t xml:space="preserve">, which is regarded as evidence that companies often manage earnings towards a target (in this case, zero) to avoid reporting a loss </w:t>
      </w:r>
      <w:r w:rsidR="00EA6043" w:rsidRPr="00D51EF4">
        <w:rPr>
          <w:lang w:val="en-GB"/>
        </w:rPr>
        <w:t>(Melumad and Nissim 2008)</w:t>
      </w:r>
      <w:r w:rsidRPr="00D51EF4">
        <w:rPr>
          <w:lang w:val="en-GB"/>
        </w:rPr>
        <w:t xml:space="preserve">. </w:t>
      </w:r>
      <w:r w:rsidR="004F58B3" w:rsidRPr="00D51EF4">
        <w:rPr>
          <w:lang w:val="en-GB"/>
        </w:rPr>
        <w:t>Moreover</w:t>
      </w:r>
      <w:r w:rsidR="00B55F18" w:rsidRPr="00D51EF4">
        <w:rPr>
          <w:lang w:val="en-GB"/>
        </w:rPr>
        <w:t xml:space="preserve">, </w:t>
      </w:r>
      <w:r w:rsidR="00E93B8C" w:rsidRPr="00D51EF4">
        <w:rPr>
          <w:lang w:val="en-GB"/>
        </w:rPr>
        <w:t>for</w:t>
      </w:r>
      <w:r w:rsidR="004F58B3" w:rsidRPr="00D51EF4">
        <w:rPr>
          <w:lang w:val="en-GB"/>
        </w:rPr>
        <w:t xml:space="preserve"> </w:t>
      </w:r>
      <w:proofErr w:type="spellStart"/>
      <w:r w:rsidR="004F58B3" w:rsidRPr="00D51EF4">
        <w:rPr>
          <w:lang w:val="en-GB"/>
        </w:rPr>
        <w:t>nonprofit</w:t>
      </w:r>
      <w:proofErr w:type="spellEnd"/>
      <w:r w:rsidR="004F58B3" w:rsidRPr="00D51EF4">
        <w:rPr>
          <w:lang w:val="en-GB"/>
        </w:rPr>
        <w:t xml:space="preserve"> organisations, </w:t>
      </w:r>
      <w:r w:rsidR="00B55F18" w:rsidRPr="00D51EF4">
        <w:rPr>
          <w:lang w:val="en-GB"/>
        </w:rPr>
        <w:t xml:space="preserve">donors </w:t>
      </w:r>
      <w:r w:rsidR="00E93B8C" w:rsidRPr="00D51EF4">
        <w:rPr>
          <w:lang w:val="en-GB"/>
        </w:rPr>
        <w:t xml:space="preserve">may </w:t>
      </w:r>
      <w:r w:rsidR="00B55F18" w:rsidRPr="00D51EF4">
        <w:rPr>
          <w:lang w:val="en-GB"/>
        </w:rPr>
        <w:t>prefer to support organisations with small profits</w:t>
      </w:r>
      <w:r w:rsidR="00E93B8C" w:rsidRPr="00D51EF4">
        <w:rPr>
          <w:lang w:val="en-GB"/>
        </w:rPr>
        <w:t xml:space="preserve"> (see </w:t>
      </w:r>
      <w:r w:rsidR="00B55F18" w:rsidRPr="00D51EF4">
        <w:rPr>
          <w:lang w:val="en-GB"/>
        </w:rPr>
        <w:t xml:space="preserve">the discussion </w:t>
      </w:r>
      <w:r w:rsidR="00E93B8C" w:rsidRPr="00D51EF4">
        <w:rPr>
          <w:lang w:val="en-GB"/>
        </w:rPr>
        <w:t>in</w:t>
      </w:r>
      <w:r w:rsidR="00B55F18" w:rsidRPr="00D51EF4">
        <w:rPr>
          <w:lang w:val="en-GB"/>
        </w:rPr>
        <w:t xml:space="preserve"> Sub</w:t>
      </w:r>
      <w:r w:rsidR="00E93B8C" w:rsidRPr="00D51EF4">
        <w:rPr>
          <w:lang w:val="en-GB"/>
        </w:rPr>
        <w:t>s</w:t>
      </w:r>
      <w:r w:rsidR="00B55F18" w:rsidRPr="00D51EF4">
        <w:rPr>
          <w:lang w:val="en-GB"/>
        </w:rPr>
        <w:t>ection 2.1</w:t>
      </w:r>
      <w:r w:rsidR="00E93B8C" w:rsidRPr="00D51EF4">
        <w:rPr>
          <w:lang w:val="en-GB"/>
        </w:rPr>
        <w:t>)</w:t>
      </w:r>
      <w:r w:rsidR="00B55F18" w:rsidRPr="00D51EF4">
        <w:rPr>
          <w:lang w:val="en-GB"/>
        </w:rPr>
        <w:t>.</w:t>
      </w:r>
      <w:r w:rsidR="004F58B3" w:rsidRPr="00D51EF4">
        <w:rPr>
          <w:lang w:val="en-GB"/>
        </w:rPr>
        <w:t xml:space="preserve"> </w:t>
      </w:r>
      <w:r w:rsidRPr="00D51EF4">
        <w:rPr>
          <w:lang w:val="en-GB"/>
        </w:rPr>
        <w:t xml:space="preserve">Thus, the </w:t>
      </w:r>
      <w:r w:rsidR="00141945" w:rsidRPr="00D51EF4">
        <w:rPr>
          <w:lang w:val="en-GB"/>
        </w:rPr>
        <w:t xml:space="preserve">fraction </w:t>
      </w:r>
      <w:r w:rsidRPr="00D51EF4">
        <w:rPr>
          <w:lang w:val="en-GB"/>
        </w:rPr>
        <w:t xml:space="preserve">of small profits is our second proxy variable for earnings management. Small profits </w:t>
      </w:r>
      <w:proofErr w:type="gramStart"/>
      <w:r w:rsidRPr="00D51EF4">
        <w:rPr>
          <w:lang w:val="en-GB"/>
        </w:rPr>
        <w:t>are defined</w:t>
      </w:r>
      <w:proofErr w:type="gramEnd"/>
      <w:r w:rsidRPr="00D51EF4">
        <w:rPr>
          <w:lang w:val="en-GB"/>
        </w:rPr>
        <w:t xml:space="preserve"> as scaled earnings in the interval 0 to 0.01. Non-timely recognition of losses </w:t>
      </w:r>
      <w:proofErr w:type="gramStart"/>
      <w:r w:rsidRPr="00D51EF4">
        <w:rPr>
          <w:lang w:val="en-GB"/>
        </w:rPr>
        <w:t>can also be regarded</w:t>
      </w:r>
      <w:proofErr w:type="gramEnd"/>
      <w:r w:rsidRPr="00D51EF4">
        <w:rPr>
          <w:lang w:val="en-GB"/>
        </w:rPr>
        <w:t xml:space="preserve"> as an example of earnings management. Losses </w:t>
      </w:r>
      <w:proofErr w:type="gramStart"/>
      <w:r w:rsidRPr="00D51EF4">
        <w:rPr>
          <w:lang w:val="en-GB"/>
        </w:rPr>
        <w:t>should be recognised</w:t>
      </w:r>
      <w:proofErr w:type="gramEnd"/>
      <w:r w:rsidRPr="00D51EF4">
        <w:rPr>
          <w:lang w:val="en-GB"/>
        </w:rPr>
        <w:t xml:space="preserve"> as they occur and should not be postponed to future periods. We expect that higher-quality earnings will exhibit a higher frequency of large losses. Following Barth et al. (2008)</w:t>
      </w:r>
      <w:r w:rsidR="00141945" w:rsidRPr="00D51EF4">
        <w:rPr>
          <w:lang w:val="en-GB"/>
        </w:rPr>
        <w:t>,</w:t>
      </w:r>
      <w:r w:rsidRPr="00D51EF4">
        <w:rPr>
          <w:lang w:val="en-GB"/>
        </w:rPr>
        <w:t xml:space="preserve"> a large loss </w:t>
      </w:r>
      <w:proofErr w:type="gramStart"/>
      <w:r w:rsidRPr="00D51EF4">
        <w:rPr>
          <w:lang w:val="en-GB"/>
        </w:rPr>
        <w:t>is defined</w:t>
      </w:r>
      <w:proofErr w:type="gramEnd"/>
      <w:r w:rsidRPr="00D51EF4">
        <w:rPr>
          <w:lang w:val="en-GB"/>
        </w:rPr>
        <w:t xml:space="preserve"> as scaled earnings </w:t>
      </w:r>
      <w:r w:rsidR="00141945" w:rsidRPr="00D51EF4">
        <w:rPr>
          <w:lang w:val="en-GB"/>
        </w:rPr>
        <w:t xml:space="preserve">less </w:t>
      </w:r>
      <w:r w:rsidRPr="00D51EF4">
        <w:rPr>
          <w:lang w:val="en-GB"/>
        </w:rPr>
        <w:t>th</w:t>
      </w:r>
      <w:r w:rsidR="00141945" w:rsidRPr="00D51EF4">
        <w:rPr>
          <w:lang w:val="en-GB"/>
        </w:rPr>
        <w:t>a</w:t>
      </w:r>
      <w:r w:rsidRPr="00D51EF4">
        <w:rPr>
          <w:lang w:val="en-GB"/>
        </w:rPr>
        <w:t xml:space="preserve">n -0.2. </w:t>
      </w:r>
    </w:p>
    <w:p w14:paraId="7AE943AA" w14:textId="77777777" w:rsidR="00CE6A15" w:rsidRPr="00D51EF4" w:rsidRDefault="00CE6A15" w:rsidP="00F65B35">
      <w:pPr>
        <w:autoSpaceDE w:val="0"/>
        <w:autoSpaceDN w:val="0"/>
        <w:adjustRightInd w:val="0"/>
        <w:spacing w:line="480" w:lineRule="auto"/>
        <w:jc w:val="both"/>
        <w:rPr>
          <w:lang w:val="en-GB"/>
        </w:rPr>
      </w:pPr>
    </w:p>
    <w:p w14:paraId="61D5BEFA" w14:textId="29ADC4B7" w:rsidR="00F86418" w:rsidRPr="00D51EF4" w:rsidRDefault="00CE6A15" w:rsidP="00F65B35">
      <w:pPr>
        <w:autoSpaceDE w:val="0"/>
        <w:autoSpaceDN w:val="0"/>
        <w:adjustRightInd w:val="0"/>
        <w:spacing w:line="480" w:lineRule="auto"/>
        <w:jc w:val="both"/>
        <w:rPr>
          <w:lang w:val="en-GB"/>
        </w:rPr>
      </w:pPr>
      <w:r w:rsidRPr="00D51EF4">
        <w:rPr>
          <w:lang w:val="en-GB"/>
        </w:rPr>
        <w:lastRenderedPageBreak/>
        <w:t xml:space="preserve">The typical external or market-based measure of accounting usefulness, the value relevance of accounting information, </w:t>
      </w:r>
      <w:proofErr w:type="gramStart"/>
      <w:r w:rsidRPr="00D51EF4">
        <w:rPr>
          <w:lang w:val="en-GB"/>
        </w:rPr>
        <w:t>cannot be studied</w:t>
      </w:r>
      <w:proofErr w:type="gramEnd"/>
      <w:r w:rsidRPr="00D51EF4">
        <w:rPr>
          <w:lang w:val="en-GB"/>
        </w:rPr>
        <w:t xml:space="preserve"> for non-listed companies. However, even if prior research has documented that value relevance is closely related to accounting attributes such as earnings persistence and predictability (Beisland 2011), we do use one </w:t>
      </w:r>
      <w:r w:rsidR="00591686" w:rsidRPr="00D51EF4">
        <w:rPr>
          <w:lang w:val="en-GB"/>
        </w:rPr>
        <w:t xml:space="preserve">additional </w:t>
      </w:r>
      <w:r w:rsidRPr="00D51EF4">
        <w:rPr>
          <w:lang w:val="en-GB"/>
        </w:rPr>
        <w:t>proxy for market</w:t>
      </w:r>
      <w:r w:rsidR="00141945" w:rsidRPr="00D51EF4">
        <w:rPr>
          <w:lang w:val="en-GB"/>
        </w:rPr>
        <w:t>-</w:t>
      </w:r>
      <w:r w:rsidRPr="00D51EF4">
        <w:rPr>
          <w:lang w:val="en-GB"/>
        </w:rPr>
        <w:t>based earnings quality: the degree to which the earnings numbers are related to the MFI external ratings</w:t>
      </w:r>
      <w:r w:rsidR="00412CE7" w:rsidRPr="00D51EF4">
        <w:rPr>
          <w:lang w:val="en-GB"/>
        </w:rPr>
        <w:t xml:space="preserve"> (</w:t>
      </w:r>
      <w:r w:rsidR="00070525" w:rsidRPr="00070525">
        <w:rPr>
          <w:lang w:val="en-GB"/>
        </w:rPr>
        <w:t>Beisland and Mersland 2013</w:t>
      </w:r>
      <w:r w:rsidRPr="00D51EF4">
        <w:rPr>
          <w:lang w:val="en-GB"/>
        </w:rPr>
        <w:t xml:space="preserve">). </w:t>
      </w:r>
      <w:r w:rsidR="00F86418" w:rsidRPr="00D51EF4">
        <w:rPr>
          <w:lang w:val="en-GB"/>
        </w:rPr>
        <w:t>The MFI ratings are a broad measure of MFI performance</w:t>
      </w:r>
      <w:r w:rsidR="00412DC3" w:rsidRPr="00D51EF4">
        <w:rPr>
          <w:lang w:val="en-GB"/>
        </w:rPr>
        <w:t xml:space="preserve"> and must not be confused with traditional credit ratings</w:t>
      </w:r>
      <w:r w:rsidR="00141945" w:rsidRPr="00D51EF4">
        <w:rPr>
          <w:lang w:val="en-GB"/>
        </w:rPr>
        <w:t xml:space="preserve">, which </w:t>
      </w:r>
      <w:r w:rsidR="00412DC3" w:rsidRPr="00D51EF4">
        <w:rPr>
          <w:lang w:val="en-GB"/>
        </w:rPr>
        <w:t>focus solely on repayment risk (Reille</w:t>
      </w:r>
      <w:r w:rsidR="00412CE7" w:rsidRPr="00D51EF4">
        <w:rPr>
          <w:lang w:val="en-GB"/>
        </w:rPr>
        <w:t xml:space="preserve"> et al.</w:t>
      </w:r>
      <w:r w:rsidR="00141945" w:rsidRPr="00D51EF4">
        <w:rPr>
          <w:lang w:val="en-GB"/>
        </w:rPr>
        <w:t xml:space="preserve"> </w:t>
      </w:r>
      <w:r w:rsidR="00412DC3" w:rsidRPr="00D51EF4">
        <w:rPr>
          <w:lang w:val="en-GB"/>
        </w:rPr>
        <w:t>2002)</w:t>
      </w:r>
      <w:r w:rsidR="00F86418" w:rsidRPr="00D51EF4">
        <w:rPr>
          <w:lang w:val="en-GB"/>
        </w:rPr>
        <w:t xml:space="preserve">. </w:t>
      </w:r>
      <w:r w:rsidR="006A4136" w:rsidRPr="00D51EF4">
        <w:rPr>
          <w:lang w:val="en-GB"/>
        </w:rPr>
        <w:t>The MFI ratings measure a combination of creditworthiness, trustworthiness</w:t>
      </w:r>
      <w:r w:rsidR="006F05F4" w:rsidRPr="00D51EF4">
        <w:rPr>
          <w:lang w:val="en-GB"/>
        </w:rPr>
        <w:t>,</w:t>
      </w:r>
      <w:r w:rsidR="006A4136" w:rsidRPr="00D51EF4">
        <w:rPr>
          <w:lang w:val="en-GB"/>
        </w:rPr>
        <w:t xml:space="preserve"> and excellence in microfinance (www.ratinginitiative.org) and </w:t>
      </w:r>
      <w:proofErr w:type="gramStart"/>
      <w:r w:rsidR="006A4136" w:rsidRPr="00D51EF4">
        <w:rPr>
          <w:lang w:val="en-GB"/>
        </w:rPr>
        <w:t>are frequently applied</w:t>
      </w:r>
      <w:proofErr w:type="gramEnd"/>
      <w:r w:rsidR="006A4136" w:rsidRPr="00D51EF4">
        <w:rPr>
          <w:lang w:val="en-GB"/>
        </w:rPr>
        <w:t xml:space="preserve"> by investors, donors</w:t>
      </w:r>
      <w:r w:rsidR="006F05F4" w:rsidRPr="00D51EF4">
        <w:rPr>
          <w:lang w:val="en-GB"/>
        </w:rPr>
        <w:t>,</w:t>
      </w:r>
      <w:r w:rsidR="006A4136" w:rsidRPr="00D51EF4">
        <w:rPr>
          <w:lang w:val="en-GB"/>
        </w:rPr>
        <w:t xml:space="preserve"> and other stakeholders when evaluating the overall performance of an MFI. </w:t>
      </w:r>
      <w:r w:rsidR="00F86418" w:rsidRPr="00D51EF4">
        <w:rPr>
          <w:lang w:val="en-GB"/>
        </w:rPr>
        <w:t>If the MFI</w:t>
      </w:r>
      <w:r w:rsidR="00C446FA" w:rsidRPr="00D51EF4">
        <w:rPr>
          <w:lang w:val="en-GB"/>
        </w:rPr>
        <w:t>’s</w:t>
      </w:r>
      <w:r w:rsidR="00F86418" w:rsidRPr="00D51EF4">
        <w:rPr>
          <w:lang w:val="en-GB"/>
        </w:rPr>
        <w:t xml:space="preserve"> earnings </w:t>
      </w:r>
      <w:proofErr w:type="gramStart"/>
      <w:r w:rsidR="00F86418" w:rsidRPr="00D51EF4">
        <w:rPr>
          <w:lang w:val="en-GB"/>
        </w:rPr>
        <w:t>are related</w:t>
      </w:r>
      <w:proofErr w:type="gramEnd"/>
      <w:r w:rsidR="00F86418" w:rsidRPr="00D51EF4">
        <w:rPr>
          <w:lang w:val="en-GB"/>
        </w:rPr>
        <w:t xml:space="preserve"> to these global risk assessments, </w:t>
      </w:r>
      <w:r w:rsidR="00F83330" w:rsidRPr="00D51EF4">
        <w:rPr>
          <w:lang w:val="en-GB"/>
        </w:rPr>
        <w:t>it can be concluded</w:t>
      </w:r>
      <w:r w:rsidR="00F86418" w:rsidRPr="00D51EF4">
        <w:rPr>
          <w:lang w:val="en-GB"/>
        </w:rPr>
        <w:t xml:space="preserve"> that the earnings are relevant and useful for the MFI’s stakeholders and </w:t>
      </w:r>
      <w:r w:rsidR="00C446FA" w:rsidRPr="00D51EF4">
        <w:rPr>
          <w:lang w:val="en-GB"/>
        </w:rPr>
        <w:t>thus</w:t>
      </w:r>
      <w:r w:rsidR="00F86418" w:rsidRPr="00D51EF4">
        <w:rPr>
          <w:lang w:val="en-GB"/>
        </w:rPr>
        <w:t xml:space="preserve"> are of high quality. </w:t>
      </w:r>
    </w:p>
    <w:p w14:paraId="600C5E27" w14:textId="77777777" w:rsidR="00507111" w:rsidRPr="00D51EF4" w:rsidRDefault="00507111" w:rsidP="00F65B35">
      <w:pPr>
        <w:autoSpaceDE w:val="0"/>
        <w:autoSpaceDN w:val="0"/>
        <w:adjustRightInd w:val="0"/>
        <w:spacing w:line="480" w:lineRule="auto"/>
        <w:jc w:val="both"/>
        <w:rPr>
          <w:lang w:val="en-GB"/>
        </w:rPr>
      </w:pPr>
    </w:p>
    <w:p w14:paraId="5584D622" w14:textId="2EB43AC0" w:rsidR="00CE6A15" w:rsidRPr="00D51EF4" w:rsidRDefault="00F83330" w:rsidP="00CE6A15">
      <w:pPr>
        <w:spacing w:line="480" w:lineRule="auto"/>
        <w:jc w:val="both"/>
        <w:rPr>
          <w:lang w:val="en-GB"/>
        </w:rPr>
      </w:pPr>
      <w:r w:rsidRPr="00D51EF4">
        <w:rPr>
          <w:lang w:val="en-GB"/>
        </w:rPr>
        <w:t xml:space="preserve">Because </w:t>
      </w:r>
      <w:r w:rsidR="00070A11" w:rsidRPr="00D51EF4">
        <w:rPr>
          <w:lang w:val="en-GB"/>
        </w:rPr>
        <w:t xml:space="preserve">there is no single best measure of earnings quality (Dechow et al. </w:t>
      </w:r>
      <w:r w:rsidR="008E45FE" w:rsidRPr="00D51EF4">
        <w:rPr>
          <w:lang w:val="en-GB"/>
        </w:rPr>
        <w:t>2010)</w:t>
      </w:r>
      <w:r w:rsidRPr="00D51EF4">
        <w:rPr>
          <w:lang w:val="en-GB"/>
        </w:rPr>
        <w:t>,</w:t>
      </w:r>
      <w:r w:rsidR="00070A11" w:rsidRPr="00D51EF4">
        <w:rPr>
          <w:lang w:val="en-GB"/>
        </w:rPr>
        <w:t xml:space="preserve"> w</w:t>
      </w:r>
      <w:r w:rsidR="00E06EF6" w:rsidRPr="00D51EF4">
        <w:rPr>
          <w:lang w:val="en-GB"/>
        </w:rPr>
        <w:t xml:space="preserve">e apply a large number of earnings quality metrics. An advantage of using several metrics is that </w:t>
      </w:r>
      <w:r w:rsidR="00C446FA" w:rsidRPr="00D51EF4">
        <w:rPr>
          <w:lang w:val="en-GB"/>
        </w:rPr>
        <w:t>we can</w:t>
      </w:r>
      <w:r w:rsidR="00E06EF6" w:rsidRPr="00D51EF4">
        <w:rPr>
          <w:lang w:val="en-GB"/>
        </w:rPr>
        <w:t xml:space="preserve"> identify the source of any accounting quality differences between for-profit and </w:t>
      </w:r>
      <w:proofErr w:type="spellStart"/>
      <w:r w:rsidR="00E06EF6" w:rsidRPr="00D51EF4">
        <w:rPr>
          <w:lang w:val="en-GB"/>
        </w:rPr>
        <w:t>nonprofit</w:t>
      </w:r>
      <w:proofErr w:type="spellEnd"/>
      <w:r w:rsidR="00E06EF6" w:rsidRPr="00D51EF4">
        <w:rPr>
          <w:lang w:val="en-GB"/>
        </w:rPr>
        <w:t xml:space="preserve"> MFIs (Barth et al. 2008). </w:t>
      </w:r>
      <w:r w:rsidR="00CE6A15" w:rsidRPr="00D51EF4">
        <w:rPr>
          <w:lang w:val="en-GB"/>
        </w:rPr>
        <w:t xml:space="preserve">Table 1 summarises our earnings quality metrics and outlines how they are </w:t>
      </w:r>
      <w:r w:rsidR="00412CE7" w:rsidRPr="00D51EF4">
        <w:rPr>
          <w:lang w:val="en-GB"/>
        </w:rPr>
        <w:t xml:space="preserve">measured (cf. Francis et al. 2004; Barth et al. 2008; </w:t>
      </w:r>
      <w:r w:rsidR="00F262B2" w:rsidRPr="00070525">
        <w:rPr>
          <w:lang w:val="en-GB"/>
        </w:rPr>
        <w:t>Beisland and Mersland 2013</w:t>
      </w:r>
      <w:r w:rsidR="00CE6A15" w:rsidRPr="00D51EF4">
        <w:rPr>
          <w:lang w:val="en-GB"/>
        </w:rPr>
        <w:t xml:space="preserve">). </w:t>
      </w:r>
    </w:p>
    <w:p w14:paraId="6417B9A1" w14:textId="77777777" w:rsidR="00CE6A15" w:rsidRPr="00D51EF4" w:rsidRDefault="00CE6A15" w:rsidP="00CE6A15">
      <w:pPr>
        <w:spacing w:line="480" w:lineRule="auto"/>
        <w:jc w:val="both"/>
        <w:rPr>
          <w:lang w:val="en-GB"/>
        </w:rPr>
      </w:pPr>
    </w:p>
    <w:p w14:paraId="7D39492D" w14:textId="77777777" w:rsidR="00CE6A15" w:rsidRPr="00D51EF4" w:rsidRDefault="00CE6A15" w:rsidP="00CE6A15">
      <w:pPr>
        <w:spacing w:line="480" w:lineRule="auto"/>
        <w:jc w:val="both"/>
        <w:rPr>
          <w:lang w:val="en-GB"/>
        </w:rPr>
      </w:pPr>
      <w:r w:rsidRPr="00D51EF4">
        <w:rPr>
          <w:lang w:val="en-GB"/>
        </w:rPr>
        <w:tab/>
      </w:r>
      <w:r w:rsidRPr="00D51EF4">
        <w:rPr>
          <w:lang w:val="en-GB"/>
        </w:rPr>
        <w:tab/>
      </w:r>
      <w:r w:rsidRPr="00D51EF4">
        <w:rPr>
          <w:lang w:val="en-GB"/>
        </w:rPr>
        <w:tab/>
        <w:t>[Insert Table 1 about here]</w:t>
      </w:r>
    </w:p>
    <w:p w14:paraId="19B92E93" w14:textId="77777777" w:rsidR="00CE6A15" w:rsidRPr="00D51EF4" w:rsidRDefault="00CE6A15" w:rsidP="00CE6A15">
      <w:pPr>
        <w:spacing w:line="480" w:lineRule="auto"/>
        <w:jc w:val="both"/>
        <w:rPr>
          <w:lang w:val="en-GB"/>
        </w:rPr>
      </w:pPr>
    </w:p>
    <w:p w14:paraId="703C6E2E" w14:textId="667A3B7D" w:rsidR="007F6C1C" w:rsidRPr="00D51EF4" w:rsidRDefault="00E574E7" w:rsidP="00A845F0">
      <w:pPr>
        <w:autoSpaceDE w:val="0"/>
        <w:autoSpaceDN w:val="0"/>
        <w:adjustRightInd w:val="0"/>
        <w:spacing w:line="480" w:lineRule="auto"/>
        <w:jc w:val="both"/>
        <w:rPr>
          <w:lang w:val="en-GB"/>
        </w:rPr>
      </w:pPr>
      <w:r w:rsidRPr="00D51EF4">
        <w:rPr>
          <w:lang w:val="en-GB"/>
        </w:rPr>
        <w:t xml:space="preserve">All earnings attributes </w:t>
      </w:r>
      <w:proofErr w:type="gramStart"/>
      <w:r w:rsidRPr="00D51EF4">
        <w:rPr>
          <w:lang w:val="en-GB"/>
        </w:rPr>
        <w:t>are estimated</w:t>
      </w:r>
      <w:proofErr w:type="gramEnd"/>
      <w:r w:rsidRPr="00D51EF4">
        <w:rPr>
          <w:lang w:val="en-GB"/>
        </w:rPr>
        <w:t xml:space="preserve"> separately for the for-profit and </w:t>
      </w:r>
      <w:proofErr w:type="spellStart"/>
      <w:r w:rsidRPr="00D51EF4">
        <w:rPr>
          <w:lang w:val="en-GB"/>
        </w:rPr>
        <w:t>nonprofit</w:t>
      </w:r>
      <w:proofErr w:type="spellEnd"/>
      <w:r w:rsidRPr="00D51EF4">
        <w:rPr>
          <w:lang w:val="en-GB"/>
        </w:rPr>
        <w:t xml:space="preserve"> MFIs.</w:t>
      </w:r>
      <w:r w:rsidR="00C276CC" w:rsidRPr="00D51EF4">
        <w:rPr>
          <w:lang w:val="en-GB"/>
        </w:rPr>
        <w:t xml:space="preserve"> </w:t>
      </w:r>
      <w:r w:rsidR="007F6C1C" w:rsidRPr="00D51EF4">
        <w:rPr>
          <w:lang w:val="en-GB"/>
        </w:rPr>
        <w:t>Following Barth et al. (2008)</w:t>
      </w:r>
      <w:r w:rsidR="00F83330" w:rsidRPr="00D51EF4">
        <w:rPr>
          <w:lang w:val="en-GB"/>
        </w:rPr>
        <w:t>,</w:t>
      </w:r>
      <w:r w:rsidR="007F6C1C" w:rsidRPr="00D51EF4">
        <w:rPr>
          <w:lang w:val="en-GB"/>
        </w:rPr>
        <w:t xml:space="preserve"> we compute our earnings quality metrics</w:t>
      </w:r>
      <w:r w:rsidR="00687D75" w:rsidRPr="00D51EF4">
        <w:rPr>
          <w:lang w:val="en-GB"/>
        </w:rPr>
        <w:t xml:space="preserve"> from cross-sectional data</w:t>
      </w:r>
      <w:r w:rsidR="007F6C1C" w:rsidRPr="00D51EF4">
        <w:rPr>
          <w:lang w:val="en-GB"/>
        </w:rPr>
        <w:t xml:space="preserve">. </w:t>
      </w:r>
      <w:proofErr w:type="gramStart"/>
      <w:r w:rsidR="007F6C1C" w:rsidRPr="00D51EF4">
        <w:rPr>
          <w:lang w:val="en-GB"/>
        </w:rPr>
        <w:t xml:space="preserve">When such </w:t>
      </w:r>
      <w:r w:rsidR="00F83330" w:rsidRPr="00D51EF4">
        <w:rPr>
          <w:lang w:val="en-GB"/>
        </w:rPr>
        <w:t xml:space="preserve">a </w:t>
      </w:r>
      <w:r w:rsidR="007F6C1C" w:rsidRPr="00D51EF4">
        <w:rPr>
          <w:lang w:val="en-GB"/>
        </w:rPr>
        <w:t xml:space="preserve">pooled estimation is </w:t>
      </w:r>
      <w:r w:rsidR="00AE563B" w:rsidRPr="00D51EF4">
        <w:rPr>
          <w:lang w:val="en-GB"/>
        </w:rPr>
        <w:t>performed</w:t>
      </w:r>
      <w:r w:rsidR="007F6C1C" w:rsidRPr="00D51EF4">
        <w:rPr>
          <w:lang w:val="en-GB"/>
        </w:rPr>
        <w:t xml:space="preserve">, </w:t>
      </w:r>
      <w:r w:rsidR="00F83330" w:rsidRPr="00D51EF4">
        <w:rPr>
          <w:lang w:val="en-GB"/>
        </w:rPr>
        <w:t xml:space="preserve">metrics are presented </w:t>
      </w:r>
      <w:r w:rsidR="007F6C1C" w:rsidRPr="00D51EF4">
        <w:rPr>
          <w:lang w:val="en-GB"/>
        </w:rPr>
        <w:t xml:space="preserve">for the sub-samples as a whole and </w:t>
      </w:r>
      <w:r w:rsidR="007F6C1C" w:rsidRPr="00D51EF4">
        <w:rPr>
          <w:lang w:val="en-GB"/>
        </w:rPr>
        <w:lastRenderedPageBreak/>
        <w:t>possible difference</w:t>
      </w:r>
      <w:r w:rsidR="00F83330" w:rsidRPr="00D51EF4">
        <w:rPr>
          <w:lang w:val="en-GB"/>
        </w:rPr>
        <w:t xml:space="preserve">s </w:t>
      </w:r>
      <w:r w:rsidR="00F86D0C" w:rsidRPr="00D51EF4">
        <w:rPr>
          <w:lang w:val="en-GB"/>
        </w:rPr>
        <w:t>between the samples</w:t>
      </w:r>
      <w:r w:rsidR="00F83330" w:rsidRPr="00D51EF4">
        <w:rPr>
          <w:lang w:val="en-GB"/>
        </w:rPr>
        <w:t xml:space="preserve"> are analysed</w:t>
      </w:r>
      <w:r w:rsidR="007F6C1C" w:rsidRPr="00D51EF4">
        <w:rPr>
          <w:lang w:val="en-GB"/>
        </w:rPr>
        <w:t xml:space="preserve">, as described by Barth et al. (2008, p. 481): “As with prior research, we interpret differences in various summary statistics (e.g., variances, correlations, and regression </w:t>
      </w:r>
      <w:r w:rsidR="007F6C1C" w:rsidRPr="00D51EF4">
        <w:rPr>
          <w:i/>
          <w:iCs/>
          <w:lang w:val="en-GB"/>
        </w:rPr>
        <w:t>R</w:t>
      </w:r>
      <w:r w:rsidR="007F6C1C" w:rsidRPr="00D51EF4">
        <w:rPr>
          <w:vertAlign w:val="superscript"/>
          <w:lang w:val="en-GB"/>
        </w:rPr>
        <w:t>2</w:t>
      </w:r>
      <w:r w:rsidR="007F6C1C" w:rsidRPr="00D51EF4">
        <w:rPr>
          <w:lang w:val="en-GB"/>
        </w:rPr>
        <w:t xml:space="preserve"> values) relating to the metrics between two samples of firms being compared as evidence of differences in accounting quality.</w:t>
      </w:r>
      <w:proofErr w:type="gramEnd"/>
      <w:r w:rsidR="007F6C1C" w:rsidRPr="00D51EF4">
        <w:rPr>
          <w:lang w:val="en-GB"/>
        </w:rPr>
        <w:t xml:space="preserve"> This approach to comparing accounting quality metrics for two groups of firms assumes that the metrics for the firms within each group are drawn from the same distribution</w:t>
      </w:r>
      <w:r w:rsidR="001A0E21" w:rsidRPr="00D51EF4">
        <w:rPr>
          <w:lang w:val="en-GB"/>
        </w:rPr>
        <w:t xml:space="preserve"> and that </w:t>
      </w:r>
      <w:r w:rsidR="007F6C1C" w:rsidRPr="00D51EF4">
        <w:rPr>
          <w:lang w:val="en-GB"/>
        </w:rPr>
        <w:t>the metrics for firms in different groups are potentially drawn from different distributions.”</w:t>
      </w:r>
    </w:p>
    <w:p w14:paraId="595BBE11" w14:textId="67FF8B29" w:rsidR="00530355" w:rsidRPr="00D51EF4" w:rsidRDefault="00530355" w:rsidP="00F65B35">
      <w:pPr>
        <w:autoSpaceDE w:val="0"/>
        <w:autoSpaceDN w:val="0"/>
        <w:adjustRightInd w:val="0"/>
        <w:spacing w:line="480" w:lineRule="auto"/>
        <w:jc w:val="both"/>
        <w:rPr>
          <w:lang w:val="en-GB"/>
        </w:rPr>
      </w:pPr>
    </w:p>
    <w:p w14:paraId="2F97669F" w14:textId="77777777" w:rsidR="00F86418" w:rsidRPr="00D51EF4" w:rsidRDefault="00F86418" w:rsidP="00F65B35">
      <w:pPr>
        <w:autoSpaceDE w:val="0"/>
        <w:autoSpaceDN w:val="0"/>
        <w:adjustRightInd w:val="0"/>
        <w:spacing w:line="480" w:lineRule="auto"/>
        <w:jc w:val="both"/>
        <w:rPr>
          <w:b/>
          <w:lang w:val="en-GB"/>
        </w:rPr>
      </w:pPr>
      <w:r w:rsidRPr="00D51EF4">
        <w:rPr>
          <w:b/>
          <w:lang w:val="en-GB"/>
        </w:rPr>
        <w:t>3. Data Sample</w:t>
      </w:r>
    </w:p>
    <w:p w14:paraId="5E48B06F" w14:textId="0248FF22" w:rsidR="00F86418" w:rsidRPr="00D51EF4" w:rsidRDefault="001556CC" w:rsidP="00F65B35">
      <w:pPr>
        <w:spacing w:line="480" w:lineRule="auto"/>
        <w:jc w:val="both"/>
        <w:rPr>
          <w:lang w:val="en-GB"/>
        </w:rPr>
      </w:pPr>
      <w:r w:rsidRPr="00D51EF4">
        <w:rPr>
          <w:lang w:val="en-GB"/>
        </w:rPr>
        <w:t xml:space="preserve">Access to machine-readable firm-level financial data </w:t>
      </w:r>
      <w:r w:rsidR="00AE563B" w:rsidRPr="00D51EF4">
        <w:rPr>
          <w:lang w:val="en-GB"/>
        </w:rPr>
        <w:t xml:space="preserve">for </w:t>
      </w:r>
      <w:r w:rsidRPr="00D51EF4">
        <w:rPr>
          <w:lang w:val="en-GB"/>
        </w:rPr>
        <w:t xml:space="preserve">countries outside the US is </w:t>
      </w:r>
      <w:r w:rsidR="00AE563B" w:rsidRPr="00D51EF4">
        <w:rPr>
          <w:lang w:val="en-GB"/>
        </w:rPr>
        <w:t xml:space="preserve">limited </w:t>
      </w:r>
      <w:r w:rsidRPr="00D51EF4">
        <w:rPr>
          <w:lang w:val="en-GB"/>
        </w:rPr>
        <w:t>(</w:t>
      </w:r>
      <w:proofErr w:type="spellStart"/>
      <w:r w:rsidRPr="00D51EF4">
        <w:rPr>
          <w:lang w:val="en-GB"/>
        </w:rPr>
        <w:t>Dechow</w:t>
      </w:r>
      <w:proofErr w:type="spellEnd"/>
      <w:r w:rsidRPr="00D51EF4">
        <w:rPr>
          <w:lang w:val="en-GB"/>
        </w:rPr>
        <w:t xml:space="preserve"> et al. 2010)</w:t>
      </w:r>
      <w:r w:rsidR="00AE563B" w:rsidRPr="00D51EF4">
        <w:rPr>
          <w:lang w:val="en-GB"/>
        </w:rPr>
        <w:t>.</w:t>
      </w:r>
      <w:r w:rsidRPr="00D51EF4">
        <w:rPr>
          <w:lang w:val="en-GB"/>
        </w:rPr>
        <w:t xml:space="preserve"> </w:t>
      </w:r>
      <w:r w:rsidR="00F86418" w:rsidRPr="00D51EF4">
        <w:rPr>
          <w:lang w:val="en-GB"/>
        </w:rPr>
        <w:t>Our</w:t>
      </w:r>
      <w:r w:rsidRPr="00D51EF4">
        <w:rPr>
          <w:lang w:val="en-GB"/>
        </w:rPr>
        <w:t xml:space="preserve"> unique</w:t>
      </w:r>
      <w:r w:rsidR="00F86418" w:rsidRPr="00D51EF4">
        <w:rPr>
          <w:lang w:val="en-GB"/>
        </w:rPr>
        <w:t xml:space="preserve"> dataset </w:t>
      </w:r>
      <w:proofErr w:type="gramStart"/>
      <w:r w:rsidRPr="00D51EF4">
        <w:rPr>
          <w:lang w:val="en-GB"/>
        </w:rPr>
        <w:t>is collected</w:t>
      </w:r>
      <w:proofErr w:type="gramEnd"/>
      <w:r w:rsidR="00F86418" w:rsidRPr="00D51EF4">
        <w:rPr>
          <w:lang w:val="en-GB"/>
        </w:rPr>
        <w:t xml:space="preserve"> </w:t>
      </w:r>
      <w:r w:rsidR="00AE563B" w:rsidRPr="00D51EF4">
        <w:rPr>
          <w:lang w:val="en-GB"/>
        </w:rPr>
        <w:t xml:space="preserve">by hand </w:t>
      </w:r>
      <w:r w:rsidR="005D2045" w:rsidRPr="00D51EF4">
        <w:rPr>
          <w:lang w:val="en-GB"/>
        </w:rPr>
        <w:t xml:space="preserve">from accounting information publically available in </w:t>
      </w:r>
      <w:r w:rsidR="00F86418" w:rsidRPr="00D51EF4">
        <w:rPr>
          <w:lang w:val="en-GB"/>
        </w:rPr>
        <w:t xml:space="preserve">reports from the providers of the </w:t>
      </w:r>
      <w:r w:rsidR="00776D32" w:rsidRPr="00D51EF4">
        <w:rPr>
          <w:lang w:val="en-GB"/>
        </w:rPr>
        <w:t>MFI ratings</w:t>
      </w:r>
      <w:r w:rsidR="00F86418" w:rsidRPr="00D51EF4">
        <w:rPr>
          <w:lang w:val="en-GB"/>
        </w:rPr>
        <w:t xml:space="preserve">, the </w:t>
      </w:r>
      <w:r w:rsidR="00776D32" w:rsidRPr="00D51EF4">
        <w:rPr>
          <w:lang w:val="en-GB"/>
        </w:rPr>
        <w:t xml:space="preserve">microfinance </w:t>
      </w:r>
      <w:r w:rsidR="00F86418" w:rsidRPr="00D51EF4">
        <w:rPr>
          <w:lang w:val="en-GB"/>
        </w:rPr>
        <w:t xml:space="preserve">rating agencies. </w:t>
      </w:r>
      <w:r w:rsidR="00776D32" w:rsidRPr="00D51EF4">
        <w:rPr>
          <w:lang w:val="en-GB"/>
        </w:rPr>
        <w:t xml:space="preserve">The purpose of rating reports is to present independent information </w:t>
      </w:r>
      <w:proofErr w:type="gramStart"/>
      <w:r w:rsidR="00776D32" w:rsidRPr="00D51EF4">
        <w:rPr>
          <w:lang w:val="en-GB"/>
        </w:rPr>
        <w:t>that stakeholders</w:t>
      </w:r>
      <w:proofErr w:type="gramEnd"/>
      <w:r w:rsidR="00AE563B" w:rsidRPr="00D51EF4">
        <w:rPr>
          <w:lang w:val="en-GB"/>
        </w:rPr>
        <w:t>,</w:t>
      </w:r>
      <w:r w:rsidR="00776D32" w:rsidRPr="00D51EF4">
        <w:rPr>
          <w:lang w:val="en-GB"/>
        </w:rPr>
        <w:t xml:space="preserve"> such as lenders, owners, donors, and managers</w:t>
      </w:r>
      <w:r w:rsidR="00AE563B" w:rsidRPr="00D51EF4">
        <w:rPr>
          <w:lang w:val="en-GB"/>
        </w:rPr>
        <w:t>,</w:t>
      </w:r>
      <w:r w:rsidR="00776D32" w:rsidRPr="00D51EF4">
        <w:rPr>
          <w:lang w:val="en-GB"/>
        </w:rPr>
        <w:t xml:space="preserve"> can use to make informed decisions.</w:t>
      </w:r>
      <w:r w:rsidR="00701703" w:rsidRPr="00D51EF4">
        <w:rPr>
          <w:lang w:val="en-GB"/>
        </w:rPr>
        <w:t xml:space="preserve"> </w:t>
      </w:r>
      <w:r w:rsidR="00F86418" w:rsidRPr="00D51EF4">
        <w:rPr>
          <w:lang w:val="en-GB"/>
        </w:rPr>
        <w:t>The rating reports are public</w:t>
      </w:r>
      <w:r w:rsidR="00236EF7" w:rsidRPr="00D51EF4">
        <w:rPr>
          <w:lang w:val="en-GB"/>
        </w:rPr>
        <w:t>ly available</w:t>
      </w:r>
      <w:r w:rsidR="00F86418" w:rsidRPr="00D51EF4">
        <w:rPr>
          <w:lang w:val="en-GB"/>
        </w:rPr>
        <w:t xml:space="preserve"> at </w:t>
      </w:r>
      <w:hyperlink r:id="rId9" w:history="1">
        <w:r w:rsidR="00F86418" w:rsidRPr="00D51EF4">
          <w:rPr>
            <w:rStyle w:val="Hyperkobling"/>
            <w:lang w:val="en-GB"/>
          </w:rPr>
          <w:t>www.ratingfund2.org</w:t>
        </w:r>
      </w:hyperlink>
      <w:r w:rsidR="00F86418" w:rsidRPr="00D51EF4">
        <w:rPr>
          <w:lang w:val="en-GB"/>
        </w:rPr>
        <w:t xml:space="preserve">. Reports made by the following five </w:t>
      </w:r>
      <w:r w:rsidR="00F171D9" w:rsidRPr="00D51EF4">
        <w:rPr>
          <w:lang w:val="en-GB"/>
        </w:rPr>
        <w:t xml:space="preserve">leading </w:t>
      </w:r>
      <w:r w:rsidR="00F86418" w:rsidRPr="00D51EF4">
        <w:rPr>
          <w:lang w:val="en-GB"/>
        </w:rPr>
        <w:t>rating agencies are included: MicroRate, Microfinanza, Planet Rating, Crisil</w:t>
      </w:r>
      <w:r w:rsidR="00801E94" w:rsidRPr="00D51EF4">
        <w:rPr>
          <w:lang w:val="en-GB"/>
        </w:rPr>
        <w:t>,</w:t>
      </w:r>
      <w:r w:rsidR="00F86418" w:rsidRPr="00D51EF4">
        <w:rPr>
          <w:lang w:val="en-GB"/>
        </w:rPr>
        <w:t xml:space="preserve"> and M-Cril. </w:t>
      </w:r>
    </w:p>
    <w:p w14:paraId="25A587E3" w14:textId="77777777" w:rsidR="00F86418" w:rsidRPr="00D51EF4" w:rsidRDefault="00F86418" w:rsidP="00F65B35">
      <w:pPr>
        <w:spacing w:line="480" w:lineRule="auto"/>
        <w:jc w:val="both"/>
        <w:rPr>
          <w:lang w:val="en-GB"/>
        </w:rPr>
      </w:pPr>
    </w:p>
    <w:p w14:paraId="5A5AE914" w14:textId="60F8D0F6" w:rsidR="00F86418" w:rsidRPr="00D51EF4" w:rsidRDefault="00F86418" w:rsidP="00F65B35">
      <w:pPr>
        <w:spacing w:line="480" w:lineRule="auto"/>
        <w:jc w:val="both"/>
        <w:rPr>
          <w:lang w:val="en-GB"/>
        </w:rPr>
      </w:pPr>
      <w:r w:rsidRPr="00D51EF4">
        <w:rPr>
          <w:lang w:val="en-GB"/>
        </w:rPr>
        <w:t xml:space="preserve">The fact that MFIs in the sample </w:t>
      </w:r>
      <w:proofErr w:type="gramStart"/>
      <w:r w:rsidRPr="00D51EF4">
        <w:rPr>
          <w:lang w:val="en-GB"/>
        </w:rPr>
        <w:t>are rated</w:t>
      </w:r>
      <w:proofErr w:type="gramEnd"/>
      <w:r w:rsidRPr="00D51EF4">
        <w:rPr>
          <w:lang w:val="en-GB"/>
        </w:rPr>
        <w:t xml:space="preserve"> </w:t>
      </w:r>
      <w:r w:rsidR="00236EF7" w:rsidRPr="00D51EF4">
        <w:rPr>
          <w:lang w:val="en-GB"/>
        </w:rPr>
        <w:t xml:space="preserve">indicates </w:t>
      </w:r>
      <w:r w:rsidRPr="00D51EF4">
        <w:rPr>
          <w:lang w:val="en-GB"/>
        </w:rPr>
        <w:t xml:space="preserve">a certain selection bias; the data </w:t>
      </w:r>
      <w:r w:rsidR="00236EF7" w:rsidRPr="00D51EF4">
        <w:rPr>
          <w:lang w:val="en-GB"/>
        </w:rPr>
        <w:t xml:space="preserve">are </w:t>
      </w:r>
      <w:r w:rsidRPr="00D51EF4">
        <w:rPr>
          <w:lang w:val="en-GB"/>
        </w:rPr>
        <w:t>skewed towards the better</w:t>
      </w:r>
      <w:r w:rsidR="00236EF7" w:rsidRPr="00D51EF4">
        <w:rPr>
          <w:lang w:val="en-GB"/>
        </w:rPr>
        <w:t>-</w:t>
      </w:r>
      <w:r w:rsidRPr="00D51EF4">
        <w:rPr>
          <w:lang w:val="en-GB"/>
        </w:rPr>
        <w:t xml:space="preserve">performing MFIs. However, this is an advantage </w:t>
      </w:r>
      <w:r w:rsidR="00AE563B" w:rsidRPr="00D51EF4">
        <w:rPr>
          <w:lang w:val="en-GB"/>
        </w:rPr>
        <w:t xml:space="preserve">for </w:t>
      </w:r>
      <w:r w:rsidRPr="00D51EF4">
        <w:rPr>
          <w:lang w:val="en-GB"/>
        </w:rPr>
        <w:t xml:space="preserve">our comparative analysis </w:t>
      </w:r>
      <w:r w:rsidR="00236EF7" w:rsidRPr="00D51EF4">
        <w:rPr>
          <w:lang w:val="en-GB"/>
        </w:rPr>
        <w:t xml:space="preserve">because </w:t>
      </w:r>
      <w:r w:rsidRPr="00D51EF4">
        <w:rPr>
          <w:lang w:val="en-GB"/>
        </w:rPr>
        <w:t>it filters out background “noise”</w:t>
      </w:r>
      <w:r w:rsidR="00236EF7" w:rsidRPr="00D51EF4">
        <w:rPr>
          <w:lang w:val="en-GB"/>
        </w:rPr>
        <w:t>,</w:t>
      </w:r>
      <w:r w:rsidRPr="00D51EF4">
        <w:rPr>
          <w:lang w:val="en-GB"/>
        </w:rPr>
        <w:t xml:space="preserve"> such as very small or unprofessional MFIs. The rating reports </w:t>
      </w:r>
      <w:r w:rsidR="00236EF7" w:rsidRPr="00D51EF4">
        <w:rPr>
          <w:lang w:val="en-GB"/>
        </w:rPr>
        <w:t xml:space="preserve">included in </w:t>
      </w:r>
      <w:r w:rsidRPr="00D51EF4">
        <w:rPr>
          <w:lang w:val="en-GB"/>
        </w:rPr>
        <w:t>the database are from 1998 to 200</w:t>
      </w:r>
      <w:r w:rsidR="003A5CBC" w:rsidRPr="00D51EF4">
        <w:rPr>
          <w:lang w:val="en-GB"/>
        </w:rPr>
        <w:t>9</w:t>
      </w:r>
      <w:r w:rsidRPr="00D51EF4">
        <w:rPr>
          <w:lang w:val="en-GB"/>
        </w:rPr>
        <w:t xml:space="preserve">, </w:t>
      </w:r>
      <w:r w:rsidR="00AE563B" w:rsidRPr="00D51EF4">
        <w:rPr>
          <w:lang w:val="en-GB"/>
        </w:rPr>
        <w:t xml:space="preserve">but </w:t>
      </w:r>
      <w:r w:rsidRPr="00D51EF4">
        <w:rPr>
          <w:lang w:val="en-GB"/>
        </w:rPr>
        <w:t xml:space="preserve">the vast majority </w:t>
      </w:r>
      <w:r w:rsidR="00AE563B" w:rsidRPr="00D51EF4">
        <w:rPr>
          <w:lang w:val="en-GB"/>
        </w:rPr>
        <w:t xml:space="preserve">are </w:t>
      </w:r>
      <w:r w:rsidRPr="00D51EF4">
        <w:rPr>
          <w:lang w:val="en-GB"/>
        </w:rPr>
        <w:t xml:space="preserve">from the last </w:t>
      </w:r>
      <w:r w:rsidR="003A5CBC" w:rsidRPr="00D51EF4">
        <w:rPr>
          <w:lang w:val="en-GB"/>
        </w:rPr>
        <w:t>five</w:t>
      </w:r>
      <w:r w:rsidRPr="00D51EF4">
        <w:rPr>
          <w:lang w:val="en-GB"/>
        </w:rPr>
        <w:t xml:space="preserve"> years. As required, all numbers in the dataset have been annualised and converted to US$ using</w:t>
      </w:r>
      <w:r w:rsidR="00236EF7" w:rsidRPr="00D51EF4">
        <w:rPr>
          <w:lang w:val="en-GB"/>
        </w:rPr>
        <w:t xml:space="preserve"> the</w:t>
      </w:r>
      <w:r w:rsidRPr="00D51EF4">
        <w:rPr>
          <w:lang w:val="en-GB"/>
        </w:rPr>
        <w:t xml:space="preserve"> prevailing official exchange rates. The rating agencies differ in the information they </w:t>
      </w:r>
      <w:r w:rsidR="00AE563B" w:rsidRPr="00D51EF4">
        <w:rPr>
          <w:lang w:val="en-GB"/>
        </w:rPr>
        <w:t>provide</w:t>
      </w:r>
      <w:r w:rsidRPr="00D51EF4">
        <w:rPr>
          <w:lang w:val="en-GB"/>
        </w:rPr>
        <w:t xml:space="preserve"> in the reports. Thus, different </w:t>
      </w:r>
      <w:r w:rsidR="00EC0108" w:rsidRPr="00D51EF4">
        <w:rPr>
          <w:lang w:val="en-GB"/>
        </w:rPr>
        <w:t>number</w:t>
      </w:r>
      <w:r w:rsidR="00D146BE" w:rsidRPr="00D51EF4">
        <w:rPr>
          <w:lang w:val="en-GB"/>
        </w:rPr>
        <w:t>s</w:t>
      </w:r>
      <w:r w:rsidR="00EC0108" w:rsidRPr="00D51EF4">
        <w:rPr>
          <w:lang w:val="en-GB"/>
        </w:rPr>
        <w:t xml:space="preserve"> of observations</w:t>
      </w:r>
      <w:r w:rsidRPr="00D51EF4">
        <w:rPr>
          <w:lang w:val="en-GB"/>
        </w:rPr>
        <w:t xml:space="preserve"> </w:t>
      </w:r>
      <w:proofErr w:type="gramStart"/>
      <w:r w:rsidR="00EC0108" w:rsidRPr="00D51EF4">
        <w:rPr>
          <w:lang w:val="en-GB"/>
        </w:rPr>
        <w:t>are</w:t>
      </w:r>
      <w:r w:rsidR="00236EF7" w:rsidRPr="00D51EF4">
        <w:rPr>
          <w:lang w:val="en-GB"/>
        </w:rPr>
        <w:t xml:space="preserve"> reported</w:t>
      </w:r>
      <w:proofErr w:type="gramEnd"/>
      <w:r w:rsidR="00236EF7" w:rsidRPr="00D51EF4">
        <w:rPr>
          <w:lang w:val="en-GB"/>
        </w:rPr>
        <w:t xml:space="preserve"> </w:t>
      </w:r>
      <w:r w:rsidR="00793440" w:rsidRPr="00D51EF4">
        <w:rPr>
          <w:lang w:val="en-GB"/>
        </w:rPr>
        <w:t>for</w:t>
      </w:r>
      <w:r w:rsidRPr="00D51EF4">
        <w:rPr>
          <w:lang w:val="en-GB"/>
        </w:rPr>
        <w:t xml:space="preserve"> different variables and in </w:t>
      </w:r>
      <w:r w:rsidRPr="00D51EF4">
        <w:rPr>
          <w:lang w:val="en-GB"/>
        </w:rPr>
        <w:lastRenderedPageBreak/>
        <w:t xml:space="preserve">different years. The dataset consists of 403 MFIs </w:t>
      </w:r>
      <w:r w:rsidR="00236EF7" w:rsidRPr="00D51EF4">
        <w:rPr>
          <w:lang w:val="en-GB"/>
        </w:rPr>
        <w:t xml:space="preserve">from 73 countries </w:t>
      </w:r>
      <w:r w:rsidRPr="00D51EF4">
        <w:rPr>
          <w:lang w:val="en-GB"/>
        </w:rPr>
        <w:t>and 1616 firm</w:t>
      </w:r>
      <w:r w:rsidR="00236EF7" w:rsidRPr="00D51EF4">
        <w:rPr>
          <w:lang w:val="en-GB"/>
        </w:rPr>
        <w:t>-</w:t>
      </w:r>
      <w:r w:rsidRPr="00D51EF4">
        <w:rPr>
          <w:lang w:val="en-GB"/>
        </w:rPr>
        <w:t xml:space="preserve">year observations. </w:t>
      </w:r>
      <w:r w:rsidR="00C276CC" w:rsidRPr="00D51EF4">
        <w:rPr>
          <w:lang w:val="en-GB"/>
        </w:rPr>
        <w:t xml:space="preserve">All </w:t>
      </w:r>
      <w:r w:rsidR="00EC0108" w:rsidRPr="00D51EF4">
        <w:rPr>
          <w:lang w:val="en-GB"/>
        </w:rPr>
        <w:t>shareholder</w:t>
      </w:r>
      <w:r w:rsidR="00793440" w:rsidRPr="00D51EF4">
        <w:rPr>
          <w:lang w:val="en-GB"/>
        </w:rPr>
        <w:t>-</w:t>
      </w:r>
      <w:r w:rsidR="00EC0108" w:rsidRPr="00D51EF4">
        <w:rPr>
          <w:lang w:val="en-GB"/>
        </w:rPr>
        <w:t xml:space="preserve">owned </w:t>
      </w:r>
      <w:r w:rsidR="00C276CC" w:rsidRPr="00D51EF4">
        <w:rPr>
          <w:lang w:val="en-GB"/>
        </w:rPr>
        <w:t xml:space="preserve">banks and non-bank financial institutions </w:t>
      </w:r>
      <w:proofErr w:type="gramStart"/>
      <w:r w:rsidR="00C276CC" w:rsidRPr="00D51EF4">
        <w:rPr>
          <w:lang w:val="en-GB"/>
        </w:rPr>
        <w:t>are regarded</w:t>
      </w:r>
      <w:proofErr w:type="gramEnd"/>
      <w:r w:rsidR="00C276CC" w:rsidRPr="00D51EF4">
        <w:rPr>
          <w:lang w:val="en-GB"/>
        </w:rPr>
        <w:t xml:space="preserve"> as for-profit organi</w:t>
      </w:r>
      <w:r w:rsidR="00D411BD" w:rsidRPr="00D51EF4">
        <w:rPr>
          <w:lang w:val="en-GB"/>
        </w:rPr>
        <w:t>s</w:t>
      </w:r>
      <w:r w:rsidR="00C276CC" w:rsidRPr="00D51EF4">
        <w:rPr>
          <w:lang w:val="en-GB"/>
        </w:rPr>
        <w:t>ations, whereas non-government</w:t>
      </w:r>
      <w:r w:rsidR="00BB5105" w:rsidRPr="00D51EF4">
        <w:rPr>
          <w:lang w:val="en-GB"/>
        </w:rPr>
        <w:t>al</w:t>
      </w:r>
      <w:r w:rsidR="00C276CC" w:rsidRPr="00D51EF4">
        <w:rPr>
          <w:lang w:val="en-GB"/>
        </w:rPr>
        <w:t xml:space="preserve"> organi</w:t>
      </w:r>
      <w:r w:rsidR="00D411BD" w:rsidRPr="00D51EF4">
        <w:rPr>
          <w:lang w:val="en-GB"/>
        </w:rPr>
        <w:t>s</w:t>
      </w:r>
      <w:r w:rsidR="00C276CC" w:rsidRPr="00D51EF4">
        <w:rPr>
          <w:lang w:val="en-GB"/>
        </w:rPr>
        <w:t>ations, credit unions</w:t>
      </w:r>
      <w:r w:rsidR="00CC2329" w:rsidRPr="00D51EF4">
        <w:rPr>
          <w:lang w:val="en-GB"/>
        </w:rPr>
        <w:t>,</w:t>
      </w:r>
      <w:r w:rsidR="00C276CC" w:rsidRPr="00D51EF4">
        <w:rPr>
          <w:lang w:val="en-GB"/>
        </w:rPr>
        <w:t xml:space="preserve"> and </w:t>
      </w:r>
      <w:r w:rsidR="00D45663">
        <w:rPr>
          <w:lang w:val="en-GB"/>
        </w:rPr>
        <w:t xml:space="preserve">cooperatives constitute the </w:t>
      </w:r>
      <w:proofErr w:type="spellStart"/>
      <w:r w:rsidR="00D45663">
        <w:rPr>
          <w:lang w:val="en-GB"/>
        </w:rPr>
        <w:t>non</w:t>
      </w:r>
      <w:r w:rsidR="00C276CC" w:rsidRPr="00D51EF4">
        <w:rPr>
          <w:lang w:val="en-GB"/>
        </w:rPr>
        <w:t>profit</w:t>
      </w:r>
      <w:proofErr w:type="spellEnd"/>
      <w:r w:rsidR="00C276CC" w:rsidRPr="00D51EF4">
        <w:rPr>
          <w:lang w:val="en-GB"/>
        </w:rPr>
        <w:t xml:space="preserve"> organi</w:t>
      </w:r>
      <w:r w:rsidR="00D411BD" w:rsidRPr="00D51EF4">
        <w:rPr>
          <w:lang w:val="en-GB"/>
        </w:rPr>
        <w:t>s</w:t>
      </w:r>
      <w:r w:rsidR="00C276CC" w:rsidRPr="00D51EF4">
        <w:rPr>
          <w:lang w:val="en-GB"/>
        </w:rPr>
        <w:t>ations</w:t>
      </w:r>
      <w:r w:rsidR="000E1E32" w:rsidRPr="00D51EF4">
        <w:rPr>
          <w:lang w:val="en-GB"/>
        </w:rPr>
        <w:t xml:space="preserve"> (</w:t>
      </w:r>
      <w:proofErr w:type="spellStart"/>
      <w:r w:rsidR="000E1E32" w:rsidRPr="00D51EF4">
        <w:rPr>
          <w:lang w:val="en-GB"/>
        </w:rPr>
        <w:t>Galema</w:t>
      </w:r>
      <w:proofErr w:type="spellEnd"/>
      <w:r w:rsidR="000E1E32" w:rsidRPr="00D51EF4">
        <w:rPr>
          <w:lang w:val="en-GB"/>
        </w:rPr>
        <w:t xml:space="preserve"> et al</w:t>
      </w:r>
      <w:r w:rsidR="00412CE7" w:rsidRPr="00D51EF4">
        <w:rPr>
          <w:lang w:val="en-GB"/>
        </w:rPr>
        <w:t>.</w:t>
      </w:r>
      <w:r w:rsidR="000E1E32" w:rsidRPr="00D51EF4">
        <w:rPr>
          <w:lang w:val="en-GB"/>
        </w:rPr>
        <w:t xml:space="preserve"> 201</w:t>
      </w:r>
      <w:r w:rsidR="00502793" w:rsidRPr="00D51EF4">
        <w:rPr>
          <w:lang w:val="en-GB"/>
        </w:rPr>
        <w:t>2</w:t>
      </w:r>
      <w:r w:rsidR="000E1E32" w:rsidRPr="00D51EF4">
        <w:rPr>
          <w:lang w:val="en-GB"/>
        </w:rPr>
        <w:t>)</w:t>
      </w:r>
      <w:r w:rsidR="00D06070" w:rsidRPr="00D51EF4">
        <w:rPr>
          <w:lang w:val="en-GB"/>
        </w:rPr>
        <w:t>. Although</w:t>
      </w:r>
      <w:r w:rsidR="00F0680F" w:rsidRPr="00D51EF4">
        <w:rPr>
          <w:lang w:val="en-GB"/>
        </w:rPr>
        <w:t xml:space="preserve"> some of the for-profit MFIs have NGOs among their shareholders</w:t>
      </w:r>
      <w:r w:rsidR="00793440" w:rsidRPr="00D51EF4">
        <w:rPr>
          <w:lang w:val="en-GB"/>
        </w:rPr>
        <w:t>,</w:t>
      </w:r>
      <w:r w:rsidR="00F0680F" w:rsidRPr="00D51EF4">
        <w:rPr>
          <w:lang w:val="en-GB"/>
        </w:rPr>
        <w:t xml:space="preserve"> t</w:t>
      </w:r>
      <w:r w:rsidR="007B6E71" w:rsidRPr="00D51EF4">
        <w:rPr>
          <w:lang w:val="en-GB"/>
        </w:rPr>
        <w:t xml:space="preserve">his </w:t>
      </w:r>
      <w:r w:rsidR="00236EF7" w:rsidRPr="00D51EF4">
        <w:rPr>
          <w:lang w:val="en-GB"/>
        </w:rPr>
        <w:t xml:space="preserve">division </w:t>
      </w:r>
      <w:r w:rsidR="00D45663">
        <w:rPr>
          <w:lang w:val="en-GB"/>
        </w:rPr>
        <w:t xml:space="preserve">into </w:t>
      </w:r>
      <w:proofErr w:type="spellStart"/>
      <w:r w:rsidR="00D45663">
        <w:rPr>
          <w:lang w:val="en-GB"/>
        </w:rPr>
        <w:t>non</w:t>
      </w:r>
      <w:r w:rsidR="00356141" w:rsidRPr="00D51EF4">
        <w:rPr>
          <w:lang w:val="en-GB"/>
        </w:rPr>
        <w:t>profit</w:t>
      </w:r>
      <w:proofErr w:type="spellEnd"/>
      <w:r w:rsidR="00356141" w:rsidRPr="00D51EF4">
        <w:rPr>
          <w:lang w:val="en-GB"/>
        </w:rPr>
        <w:t xml:space="preserve"> and for-profit entities </w:t>
      </w:r>
      <w:r w:rsidR="007B6E71" w:rsidRPr="00D51EF4">
        <w:rPr>
          <w:lang w:val="en-GB"/>
        </w:rPr>
        <w:t xml:space="preserve">is meaningful because </w:t>
      </w:r>
      <w:r w:rsidR="00995076" w:rsidRPr="00D51EF4">
        <w:rPr>
          <w:lang w:val="en-GB"/>
        </w:rPr>
        <w:t>the difference in ownership structure should theor</w:t>
      </w:r>
      <w:r w:rsidR="00236EF7" w:rsidRPr="00D51EF4">
        <w:rPr>
          <w:lang w:val="en-GB"/>
        </w:rPr>
        <w:t xml:space="preserve">etically </w:t>
      </w:r>
      <w:r w:rsidR="00793440" w:rsidRPr="00D51EF4">
        <w:rPr>
          <w:lang w:val="en-GB"/>
        </w:rPr>
        <w:t xml:space="preserve">cause the </w:t>
      </w:r>
      <w:r w:rsidR="00995076" w:rsidRPr="00D51EF4">
        <w:rPr>
          <w:lang w:val="en-GB"/>
        </w:rPr>
        <w:t>organi</w:t>
      </w:r>
      <w:r w:rsidR="00D411BD" w:rsidRPr="00D51EF4">
        <w:rPr>
          <w:lang w:val="en-GB"/>
        </w:rPr>
        <w:t>s</w:t>
      </w:r>
      <w:r w:rsidR="00995076" w:rsidRPr="00D51EF4">
        <w:rPr>
          <w:lang w:val="en-GB"/>
        </w:rPr>
        <w:t>ations to be different (Hansmann 1996</w:t>
      </w:r>
      <w:r w:rsidR="004C1374" w:rsidRPr="00D51EF4">
        <w:rPr>
          <w:lang w:val="en-GB"/>
        </w:rPr>
        <w:t>;</w:t>
      </w:r>
      <w:r w:rsidR="00995076" w:rsidRPr="00D51EF4">
        <w:rPr>
          <w:lang w:val="en-GB"/>
        </w:rPr>
        <w:t xml:space="preserve"> Mersland 2009)</w:t>
      </w:r>
      <w:r w:rsidR="00236EF7" w:rsidRPr="00D51EF4">
        <w:rPr>
          <w:lang w:val="en-GB"/>
        </w:rPr>
        <w:t xml:space="preserve"> </w:t>
      </w:r>
      <w:r w:rsidR="004C1374" w:rsidRPr="00D51EF4">
        <w:rPr>
          <w:lang w:val="en-GB"/>
        </w:rPr>
        <w:t>with respect</w:t>
      </w:r>
      <w:r w:rsidR="00236EF7" w:rsidRPr="00D51EF4">
        <w:rPr>
          <w:lang w:val="en-GB"/>
        </w:rPr>
        <w:t>, for instance,</w:t>
      </w:r>
      <w:r w:rsidR="004C1374" w:rsidRPr="00D51EF4">
        <w:rPr>
          <w:lang w:val="en-GB"/>
        </w:rPr>
        <w:t xml:space="preserve"> to the incentives and governance mechanisms discussed in Section 2</w:t>
      </w:r>
      <w:r w:rsidR="00356141" w:rsidRPr="00D51EF4">
        <w:rPr>
          <w:lang w:val="en-GB"/>
        </w:rPr>
        <w:t>.</w:t>
      </w:r>
      <w:r w:rsidR="00995076" w:rsidRPr="00D51EF4">
        <w:rPr>
          <w:lang w:val="en-GB"/>
        </w:rPr>
        <w:t xml:space="preserve"> </w:t>
      </w:r>
      <w:r w:rsidR="00526A7B" w:rsidRPr="00D51EF4">
        <w:rPr>
          <w:lang w:val="en-GB"/>
        </w:rPr>
        <w:t xml:space="preserve">Table </w:t>
      </w:r>
      <w:r w:rsidR="005A67C9" w:rsidRPr="00D51EF4">
        <w:rPr>
          <w:lang w:val="en-GB"/>
        </w:rPr>
        <w:t>2</w:t>
      </w:r>
      <w:r w:rsidR="00674AE1" w:rsidRPr="00D51EF4">
        <w:rPr>
          <w:lang w:val="en-GB"/>
        </w:rPr>
        <w:t xml:space="preserve"> </w:t>
      </w:r>
      <w:r w:rsidR="00526A7B" w:rsidRPr="00D51EF4">
        <w:rPr>
          <w:lang w:val="en-GB"/>
        </w:rPr>
        <w:t>summari</w:t>
      </w:r>
      <w:r w:rsidR="00D411BD" w:rsidRPr="00D51EF4">
        <w:rPr>
          <w:lang w:val="en-GB"/>
        </w:rPr>
        <w:t>s</w:t>
      </w:r>
      <w:r w:rsidR="00526A7B" w:rsidRPr="00D51EF4">
        <w:rPr>
          <w:lang w:val="en-GB"/>
        </w:rPr>
        <w:t>es the most important characteristics of the two sub-samples (based on Galema</w:t>
      </w:r>
      <w:r w:rsidR="00CC2329" w:rsidRPr="00D51EF4">
        <w:rPr>
          <w:lang w:val="en-GB"/>
        </w:rPr>
        <w:t xml:space="preserve"> et al.</w:t>
      </w:r>
      <w:r w:rsidR="00526A7B" w:rsidRPr="00D51EF4">
        <w:rPr>
          <w:lang w:val="en-GB"/>
        </w:rPr>
        <w:t xml:space="preserve"> </w:t>
      </w:r>
      <w:r w:rsidR="00502793" w:rsidRPr="00D51EF4">
        <w:rPr>
          <w:lang w:val="en-GB"/>
        </w:rPr>
        <w:t>2012</w:t>
      </w:r>
      <w:r w:rsidR="00526A7B" w:rsidRPr="00D51EF4">
        <w:rPr>
          <w:lang w:val="en-GB"/>
        </w:rPr>
        <w:t>).</w:t>
      </w:r>
    </w:p>
    <w:p w14:paraId="6CAC8765" w14:textId="77777777" w:rsidR="00526A7B" w:rsidRPr="00D51EF4" w:rsidRDefault="00526A7B" w:rsidP="00F65B35">
      <w:pPr>
        <w:spacing w:line="480" w:lineRule="auto"/>
        <w:jc w:val="both"/>
        <w:rPr>
          <w:lang w:val="en-GB"/>
        </w:rPr>
      </w:pPr>
    </w:p>
    <w:p w14:paraId="31D31372" w14:textId="77777777" w:rsidR="00526A7B" w:rsidRPr="00D51EF4" w:rsidRDefault="00526A7B" w:rsidP="00526A7B">
      <w:pPr>
        <w:spacing w:line="480" w:lineRule="auto"/>
        <w:jc w:val="both"/>
        <w:rPr>
          <w:lang w:val="en-GB"/>
        </w:rPr>
      </w:pPr>
      <w:r w:rsidRPr="00D51EF4">
        <w:rPr>
          <w:lang w:val="en-GB"/>
        </w:rPr>
        <w:tab/>
      </w:r>
      <w:r w:rsidRPr="00D51EF4">
        <w:rPr>
          <w:lang w:val="en-GB"/>
        </w:rPr>
        <w:tab/>
      </w:r>
      <w:r w:rsidRPr="00D51EF4">
        <w:rPr>
          <w:lang w:val="en-GB"/>
        </w:rPr>
        <w:tab/>
        <w:t xml:space="preserve">[Insert Table </w:t>
      </w:r>
      <w:r w:rsidR="005A67C9" w:rsidRPr="00D51EF4">
        <w:rPr>
          <w:lang w:val="en-GB"/>
        </w:rPr>
        <w:t>2</w:t>
      </w:r>
      <w:r w:rsidRPr="00D51EF4">
        <w:rPr>
          <w:lang w:val="en-GB"/>
        </w:rPr>
        <w:t xml:space="preserve"> about here]</w:t>
      </w:r>
    </w:p>
    <w:p w14:paraId="099DC9AB" w14:textId="77777777" w:rsidR="00F86418" w:rsidRPr="00D51EF4" w:rsidRDefault="00F86418" w:rsidP="00F65B35">
      <w:pPr>
        <w:spacing w:line="480" w:lineRule="auto"/>
        <w:jc w:val="both"/>
        <w:rPr>
          <w:lang w:val="en-GB"/>
        </w:rPr>
      </w:pPr>
    </w:p>
    <w:p w14:paraId="054E6304" w14:textId="77777777" w:rsidR="00E574E7" w:rsidRPr="00D51EF4" w:rsidRDefault="00E574E7" w:rsidP="00F65B35">
      <w:pPr>
        <w:spacing w:line="480" w:lineRule="auto"/>
        <w:jc w:val="both"/>
        <w:rPr>
          <w:b/>
          <w:lang w:val="en-GB"/>
        </w:rPr>
      </w:pPr>
      <w:r w:rsidRPr="00D51EF4">
        <w:rPr>
          <w:b/>
          <w:lang w:val="en-GB"/>
        </w:rPr>
        <w:t>4. Empirical Findings</w:t>
      </w:r>
    </w:p>
    <w:p w14:paraId="2B394547" w14:textId="77777777" w:rsidR="00E574E7" w:rsidRPr="00D51EF4" w:rsidRDefault="00E574E7" w:rsidP="00F65B35">
      <w:pPr>
        <w:spacing w:line="480" w:lineRule="auto"/>
        <w:jc w:val="both"/>
        <w:rPr>
          <w:i/>
          <w:lang w:val="en-GB"/>
        </w:rPr>
      </w:pPr>
      <w:r w:rsidRPr="00D51EF4">
        <w:rPr>
          <w:i/>
          <w:lang w:val="en-GB"/>
        </w:rPr>
        <w:t xml:space="preserve">4.1. Earnings smoothness </w:t>
      </w:r>
    </w:p>
    <w:p w14:paraId="4F2390CE" w14:textId="62EBC5E8" w:rsidR="00E574E7" w:rsidRPr="00D51EF4" w:rsidRDefault="005A67C9" w:rsidP="00F65B35">
      <w:pPr>
        <w:spacing w:line="480" w:lineRule="auto"/>
        <w:jc w:val="both"/>
        <w:rPr>
          <w:lang w:val="en-GB"/>
        </w:rPr>
      </w:pPr>
      <w:r w:rsidRPr="00D51EF4">
        <w:rPr>
          <w:lang w:val="en-GB"/>
        </w:rPr>
        <w:t>The metric of earnings smoothness,</w:t>
      </w:r>
      <w:r w:rsidR="006715D0" w:rsidRPr="00D51EF4">
        <w:rPr>
          <w:lang w:val="en-GB"/>
        </w:rPr>
        <w:t xml:space="preserve"> </w:t>
      </w:r>
      <w:r w:rsidRPr="00D51EF4">
        <w:rPr>
          <w:lang w:val="en-GB"/>
        </w:rPr>
        <w:t xml:space="preserve">the </w:t>
      </w:r>
      <w:r w:rsidR="006715D0" w:rsidRPr="00D51EF4">
        <w:rPr>
          <w:lang w:val="en-GB"/>
        </w:rPr>
        <w:t xml:space="preserve">standard deviations of earnings </w:t>
      </w:r>
      <w:r w:rsidR="00DE6C3D" w:rsidRPr="00D51EF4">
        <w:rPr>
          <w:lang w:val="en-GB"/>
        </w:rPr>
        <w:t>scaled by end</w:t>
      </w:r>
      <w:r w:rsidR="006E1EB0" w:rsidRPr="00D51EF4">
        <w:rPr>
          <w:lang w:val="en-GB"/>
        </w:rPr>
        <w:t>-</w:t>
      </w:r>
      <w:r w:rsidR="00DE6C3D" w:rsidRPr="00D51EF4">
        <w:rPr>
          <w:lang w:val="en-GB"/>
        </w:rPr>
        <w:t>of</w:t>
      </w:r>
      <w:r w:rsidR="006E1EB0" w:rsidRPr="00D51EF4">
        <w:rPr>
          <w:lang w:val="en-GB"/>
        </w:rPr>
        <w:t>-</w:t>
      </w:r>
      <w:r w:rsidR="00DE6C3D" w:rsidRPr="00D51EF4">
        <w:rPr>
          <w:lang w:val="en-GB"/>
        </w:rPr>
        <w:t>year total assets</w:t>
      </w:r>
      <w:r w:rsidRPr="00D51EF4">
        <w:rPr>
          <w:lang w:val="en-GB"/>
        </w:rPr>
        <w:t>,</w:t>
      </w:r>
      <w:r w:rsidR="00DC0C44" w:rsidRPr="00D51EF4">
        <w:rPr>
          <w:lang w:val="en-GB"/>
        </w:rPr>
        <w:t xml:space="preserve"> </w:t>
      </w:r>
      <w:proofErr w:type="gramStart"/>
      <w:r w:rsidR="004D499C" w:rsidRPr="00D51EF4">
        <w:rPr>
          <w:lang w:val="en-GB"/>
        </w:rPr>
        <w:t xml:space="preserve">is </w:t>
      </w:r>
      <w:r w:rsidR="003A5CBC" w:rsidRPr="00D51EF4">
        <w:rPr>
          <w:lang w:val="en-GB"/>
        </w:rPr>
        <w:t>reported</w:t>
      </w:r>
      <w:proofErr w:type="gramEnd"/>
      <w:r w:rsidR="003A5CBC" w:rsidRPr="00D51EF4">
        <w:rPr>
          <w:lang w:val="en-GB"/>
        </w:rPr>
        <w:t xml:space="preserve"> in Table </w:t>
      </w:r>
      <w:r w:rsidRPr="00D51EF4">
        <w:rPr>
          <w:lang w:val="en-GB"/>
        </w:rPr>
        <w:t>3</w:t>
      </w:r>
      <w:r w:rsidR="004D499C" w:rsidRPr="00D51EF4">
        <w:rPr>
          <w:lang w:val="en-GB"/>
        </w:rPr>
        <w:t xml:space="preserve"> </w:t>
      </w:r>
      <w:r w:rsidR="00D45663">
        <w:rPr>
          <w:lang w:val="en-GB"/>
        </w:rPr>
        <w:t xml:space="preserve">for for-profit and </w:t>
      </w:r>
      <w:proofErr w:type="spellStart"/>
      <w:r w:rsidR="00D45663">
        <w:rPr>
          <w:lang w:val="en-GB"/>
        </w:rPr>
        <w:t>non</w:t>
      </w:r>
      <w:r w:rsidR="003A5CBC" w:rsidRPr="00D51EF4">
        <w:rPr>
          <w:lang w:val="en-GB"/>
        </w:rPr>
        <w:t>profit</w:t>
      </w:r>
      <w:proofErr w:type="spellEnd"/>
      <w:r w:rsidR="003A5CBC" w:rsidRPr="00D51EF4">
        <w:rPr>
          <w:lang w:val="en-GB"/>
        </w:rPr>
        <w:t xml:space="preserve"> organi</w:t>
      </w:r>
      <w:r w:rsidR="00D411BD" w:rsidRPr="00D51EF4">
        <w:rPr>
          <w:lang w:val="en-GB"/>
        </w:rPr>
        <w:t>s</w:t>
      </w:r>
      <w:r w:rsidR="003A5CBC" w:rsidRPr="00D51EF4">
        <w:rPr>
          <w:lang w:val="en-GB"/>
        </w:rPr>
        <w:t xml:space="preserve">ations. The table also includes </w:t>
      </w:r>
      <w:r w:rsidR="006F6214" w:rsidRPr="00D51EF4">
        <w:rPr>
          <w:lang w:val="en-GB"/>
        </w:rPr>
        <w:t xml:space="preserve">mean earnings numbers and some </w:t>
      </w:r>
      <w:r w:rsidR="003A5CBC" w:rsidRPr="00D51EF4">
        <w:rPr>
          <w:lang w:val="en-GB"/>
        </w:rPr>
        <w:t xml:space="preserve">distributional characteristics. </w:t>
      </w:r>
      <w:r w:rsidR="004D499C" w:rsidRPr="00D51EF4">
        <w:rPr>
          <w:lang w:val="en-GB"/>
        </w:rPr>
        <w:t>C</w:t>
      </w:r>
      <w:r w:rsidR="00A75430" w:rsidRPr="00D51EF4">
        <w:rPr>
          <w:lang w:val="en-GB"/>
        </w:rPr>
        <w:t xml:space="preserve">onsistent with the findings of Hartarska (2005) and Mersland and Strøm (2009) that the type of MFI </w:t>
      </w:r>
      <w:r w:rsidR="00E60089" w:rsidRPr="00D51EF4">
        <w:rPr>
          <w:lang w:val="en-GB"/>
        </w:rPr>
        <w:t xml:space="preserve">legal </w:t>
      </w:r>
      <w:r w:rsidR="00A75430" w:rsidRPr="00D51EF4">
        <w:rPr>
          <w:lang w:val="en-GB"/>
        </w:rPr>
        <w:t xml:space="preserve">incorporation has little effect on financial performance, the difference in </w:t>
      </w:r>
      <w:r w:rsidR="006F6214" w:rsidRPr="00D51EF4">
        <w:rPr>
          <w:lang w:val="en-GB"/>
        </w:rPr>
        <w:t xml:space="preserve">the </w:t>
      </w:r>
      <w:r w:rsidR="00A75430" w:rsidRPr="00D51EF4">
        <w:rPr>
          <w:lang w:val="en-GB"/>
        </w:rPr>
        <w:t xml:space="preserve">earnings level </w:t>
      </w:r>
      <w:r w:rsidR="009C2B59" w:rsidRPr="00D51EF4">
        <w:rPr>
          <w:lang w:val="en-GB"/>
        </w:rPr>
        <w:t xml:space="preserve">is </w:t>
      </w:r>
      <w:r w:rsidR="00A75430" w:rsidRPr="00D51EF4">
        <w:rPr>
          <w:lang w:val="en-GB"/>
        </w:rPr>
        <w:t xml:space="preserve">moderate. </w:t>
      </w:r>
      <w:r w:rsidR="00A91AE5" w:rsidRPr="00D51EF4">
        <w:rPr>
          <w:lang w:val="en-GB"/>
        </w:rPr>
        <w:t xml:space="preserve">It </w:t>
      </w:r>
      <w:proofErr w:type="gramStart"/>
      <w:r w:rsidR="00A91AE5" w:rsidRPr="00D51EF4">
        <w:rPr>
          <w:lang w:val="en-GB"/>
        </w:rPr>
        <w:t>should be noted</w:t>
      </w:r>
      <w:proofErr w:type="gramEnd"/>
      <w:r w:rsidR="00A91AE5" w:rsidRPr="00D51EF4">
        <w:rPr>
          <w:lang w:val="en-GB"/>
        </w:rPr>
        <w:t>, however, that the profitability level itself is not a component of earnings quality.</w:t>
      </w:r>
    </w:p>
    <w:p w14:paraId="22770AC6" w14:textId="77777777" w:rsidR="006715D0" w:rsidRPr="00D51EF4" w:rsidRDefault="006715D0" w:rsidP="00F65B35">
      <w:pPr>
        <w:spacing w:line="480" w:lineRule="auto"/>
        <w:jc w:val="both"/>
        <w:rPr>
          <w:lang w:val="en-GB"/>
        </w:rPr>
      </w:pPr>
    </w:p>
    <w:p w14:paraId="4BE522E6" w14:textId="77777777" w:rsidR="006715D0" w:rsidRPr="00D51EF4" w:rsidRDefault="006715D0" w:rsidP="00F65B35">
      <w:pPr>
        <w:spacing w:line="480" w:lineRule="auto"/>
        <w:jc w:val="both"/>
        <w:rPr>
          <w:lang w:val="en-GB"/>
        </w:rPr>
      </w:pPr>
      <w:r w:rsidRPr="00D51EF4">
        <w:rPr>
          <w:lang w:val="en-GB"/>
        </w:rPr>
        <w:tab/>
      </w:r>
      <w:r w:rsidRPr="00D51EF4">
        <w:rPr>
          <w:lang w:val="en-GB"/>
        </w:rPr>
        <w:tab/>
      </w:r>
      <w:r w:rsidRPr="00D51EF4">
        <w:rPr>
          <w:lang w:val="en-GB"/>
        </w:rPr>
        <w:tab/>
      </w:r>
      <w:r w:rsidR="0043648E" w:rsidRPr="00D51EF4">
        <w:rPr>
          <w:lang w:val="en-GB"/>
        </w:rPr>
        <w:t xml:space="preserve">[Insert Table </w:t>
      </w:r>
      <w:r w:rsidR="006F6214" w:rsidRPr="00D51EF4">
        <w:rPr>
          <w:lang w:val="en-GB"/>
        </w:rPr>
        <w:t>3</w:t>
      </w:r>
      <w:r w:rsidRPr="00D51EF4">
        <w:rPr>
          <w:lang w:val="en-GB"/>
        </w:rPr>
        <w:t xml:space="preserve"> about here]</w:t>
      </w:r>
    </w:p>
    <w:p w14:paraId="3078AAA5" w14:textId="77777777" w:rsidR="001C73EA" w:rsidRPr="00D51EF4" w:rsidRDefault="001C73EA" w:rsidP="00F65B35">
      <w:pPr>
        <w:spacing w:line="480" w:lineRule="auto"/>
        <w:jc w:val="both"/>
        <w:rPr>
          <w:lang w:val="en-GB"/>
        </w:rPr>
      </w:pPr>
    </w:p>
    <w:p w14:paraId="203754A9" w14:textId="42040145" w:rsidR="001C73EA" w:rsidRPr="00D51EF4" w:rsidRDefault="001C73EA" w:rsidP="00F65B35">
      <w:pPr>
        <w:spacing w:line="480" w:lineRule="auto"/>
        <w:jc w:val="both"/>
        <w:rPr>
          <w:lang w:val="en-GB"/>
        </w:rPr>
      </w:pPr>
      <w:r w:rsidRPr="00D51EF4">
        <w:rPr>
          <w:lang w:val="en-GB"/>
        </w:rPr>
        <w:lastRenderedPageBreak/>
        <w:t xml:space="preserve">For-profit MFIs </w:t>
      </w:r>
      <w:r w:rsidR="006E1EB0" w:rsidRPr="00D51EF4">
        <w:rPr>
          <w:lang w:val="en-GB"/>
        </w:rPr>
        <w:t xml:space="preserve">have </w:t>
      </w:r>
      <w:r w:rsidR="00D605DE" w:rsidRPr="00D51EF4">
        <w:rPr>
          <w:lang w:val="en-GB"/>
        </w:rPr>
        <w:t xml:space="preserve">a </w:t>
      </w:r>
      <w:r w:rsidRPr="00D51EF4">
        <w:rPr>
          <w:lang w:val="en-GB"/>
        </w:rPr>
        <w:t>lower standard deviation of r</w:t>
      </w:r>
      <w:r w:rsidR="00D45663">
        <w:rPr>
          <w:lang w:val="en-GB"/>
        </w:rPr>
        <w:t xml:space="preserve">eported earnings than their </w:t>
      </w:r>
      <w:proofErr w:type="spellStart"/>
      <w:r w:rsidR="00D45663">
        <w:rPr>
          <w:lang w:val="en-GB"/>
        </w:rPr>
        <w:t>non</w:t>
      </w:r>
      <w:r w:rsidRPr="00D51EF4">
        <w:rPr>
          <w:lang w:val="en-GB"/>
        </w:rPr>
        <w:t>profit</w:t>
      </w:r>
      <w:proofErr w:type="spellEnd"/>
      <w:r w:rsidRPr="00D51EF4">
        <w:rPr>
          <w:lang w:val="en-GB"/>
        </w:rPr>
        <w:t xml:space="preserve"> </w:t>
      </w:r>
      <w:proofErr w:type="gramStart"/>
      <w:r w:rsidRPr="00D51EF4">
        <w:rPr>
          <w:lang w:val="en-GB"/>
        </w:rPr>
        <w:t>counterpart</w:t>
      </w:r>
      <w:r w:rsidR="008808A0" w:rsidRPr="00D51EF4">
        <w:rPr>
          <w:lang w:val="en-GB"/>
        </w:rPr>
        <w:t>s</w:t>
      </w:r>
      <w:proofErr w:type="gramEnd"/>
      <w:r w:rsidRPr="00D51EF4">
        <w:rPr>
          <w:lang w:val="en-GB"/>
        </w:rPr>
        <w:t>. However, the difference is not statistically significant</w:t>
      </w:r>
      <w:r w:rsidR="00D605DE" w:rsidRPr="00D51EF4">
        <w:rPr>
          <w:lang w:val="en-GB"/>
        </w:rPr>
        <w:t>.</w:t>
      </w:r>
      <w:r w:rsidRPr="00D51EF4">
        <w:rPr>
          <w:lang w:val="en-GB"/>
        </w:rPr>
        <w:t xml:space="preserve"> </w:t>
      </w:r>
      <w:r w:rsidR="00D605DE" w:rsidRPr="00D51EF4">
        <w:rPr>
          <w:lang w:val="en-GB"/>
        </w:rPr>
        <w:t>Hence,</w:t>
      </w:r>
      <w:r w:rsidR="002A3907" w:rsidRPr="00D51EF4">
        <w:rPr>
          <w:lang w:val="en-GB"/>
        </w:rPr>
        <w:t xml:space="preserve"> we </w:t>
      </w:r>
      <w:r w:rsidR="00D605DE" w:rsidRPr="00D51EF4">
        <w:rPr>
          <w:lang w:val="en-GB"/>
        </w:rPr>
        <w:t>can conclude that no difference</w:t>
      </w:r>
      <w:r w:rsidR="002A3907" w:rsidRPr="00D51EF4">
        <w:rPr>
          <w:lang w:val="en-GB"/>
        </w:rPr>
        <w:t xml:space="preserve"> between the earnings quality of for</w:t>
      </w:r>
      <w:r w:rsidR="006E1EB0" w:rsidRPr="00D51EF4">
        <w:rPr>
          <w:lang w:val="en-GB"/>
        </w:rPr>
        <w:t>-</w:t>
      </w:r>
      <w:r w:rsidR="00D45663">
        <w:rPr>
          <w:lang w:val="en-GB"/>
        </w:rPr>
        <w:t xml:space="preserve">profit and </w:t>
      </w:r>
      <w:proofErr w:type="spellStart"/>
      <w:r w:rsidR="00D45663">
        <w:rPr>
          <w:lang w:val="en-GB"/>
        </w:rPr>
        <w:t>non</w:t>
      </w:r>
      <w:r w:rsidR="002A3907" w:rsidRPr="00D51EF4">
        <w:rPr>
          <w:lang w:val="en-GB"/>
        </w:rPr>
        <w:t>profit</w:t>
      </w:r>
      <w:proofErr w:type="spellEnd"/>
      <w:r w:rsidR="002A3907" w:rsidRPr="00D51EF4">
        <w:rPr>
          <w:lang w:val="en-GB"/>
        </w:rPr>
        <w:t xml:space="preserve"> organisations </w:t>
      </w:r>
      <w:proofErr w:type="gramStart"/>
      <w:r w:rsidR="006E1EB0" w:rsidRPr="00D51EF4">
        <w:rPr>
          <w:lang w:val="en-GB"/>
        </w:rPr>
        <w:t xml:space="preserve">has </w:t>
      </w:r>
      <w:r w:rsidR="002A3907" w:rsidRPr="00D51EF4">
        <w:rPr>
          <w:lang w:val="en-GB"/>
        </w:rPr>
        <w:t>been</w:t>
      </w:r>
      <w:r w:rsidR="001F3CFE">
        <w:rPr>
          <w:lang w:val="en-GB"/>
        </w:rPr>
        <w:t xml:space="preserve"> documented</w:t>
      </w:r>
      <w:proofErr w:type="gramEnd"/>
      <w:r w:rsidR="002A3907" w:rsidRPr="00D51EF4">
        <w:rPr>
          <w:lang w:val="en-GB"/>
        </w:rPr>
        <w:t xml:space="preserve"> </w:t>
      </w:r>
      <w:r w:rsidR="006E1EB0" w:rsidRPr="00D51EF4">
        <w:rPr>
          <w:lang w:val="en-GB"/>
        </w:rPr>
        <w:t>by</w:t>
      </w:r>
      <w:r w:rsidR="002A3907" w:rsidRPr="00D51EF4">
        <w:rPr>
          <w:lang w:val="en-GB"/>
        </w:rPr>
        <w:t xml:space="preserve"> this first test of earnings quality.</w:t>
      </w:r>
    </w:p>
    <w:p w14:paraId="05B78D46" w14:textId="77777777" w:rsidR="00E42D90" w:rsidRPr="00D51EF4" w:rsidRDefault="00E42D90" w:rsidP="00F65B35">
      <w:pPr>
        <w:spacing w:line="480" w:lineRule="auto"/>
        <w:jc w:val="both"/>
        <w:rPr>
          <w:lang w:val="en-GB"/>
        </w:rPr>
      </w:pPr>
    </w:p>
    <w:p w14:paraId="6DB35A8B" w14:textId="77777777" w:rsidR="00E42D90" w:rsidRPr="00D51EF4" w:rsidRDefault="00E42D90" w:rsidP="00F65B35">
      <w:pPr>
        <w:spacing w:line="480" w:lineRule="auto"/>
        <w:jc w:val="both"/>
        <w:rPr>
          <w:i/>
          <w:lang w:val="en-GB"/>
        </w:rPr>
      </w:pPr>
      <w:r w:rsidRPr="00D51EF4">
        <w:rPr>
          <w:i/>
          <w:lang w:val="en-GB"/>
        </w:rPr>
        <w:t>4.2. Earnings Persistence</w:t>
      </w:r>
    </w:p>
    <w:p w14:paraId="14A57578" w14:textId="27BC9931" w:rsidR="00E42D90" w:rsidRPr="00D51EF4" w:rsidRDefault="00177388" w:rsidP="00177388">
      <w:pPr>
        <w:spacing w:line="480" w:lineRule="auto"/>
        <w:jc w:val="both"/>
        <w:rPr>
          <w:lang w:val="en-GB"/>
        </w:rPr>
      </w:pPr>
      <w:r w:rsidRPr="00D51EF4">
        <w:rPr>
          <w:lang w:val="en-GB"/>
        </w:rPr>
        <w:t xml:space="preserve">Persistence is measured as the slope coefficient </w:t>
      </w:r>
      <w:r w:rsidR="006E1EB0" w:rsidRPr="00D51EF4">
        <w:rPr>
          <w:lang w:val="en-GB"/>
        </w:rPr>
        <w:t xml:space="preserve">calculated </w:t>
      </w:r>
      <w:r w:rsidRPr="00D51EF4">
        <w:rPr>
          <w:lang w:val="en-GB"/>
        </w:rPr>
        <w:t xml:space="preserve">from a regression of </w:t>
      </w:r>
      <w:r w:rsidR="0021763F" w:rsidRPr="00D51EF4">
        <w:rPr>
          <w:lang w:val="en-GB"/>
        </w:rPr>
        <w:t xml:space="preserve">(scaled) </w:t>
      </w:r>
      <w:r w:rsidRPr="00D51EF4">
        <w:rPr>
          <w:lang w:val="en-GB"/>
        </w:rPr>
        <w:t>current earnings on lagged earnings (Francis et al. 2004</w:t>
      </w:r>
      <w:r w:rsidR="00DE6C3D" w:rsidRPr="00D51EF4">
        <w:rPr>
          <w:lang w:val="en-GB"/>
        </w:rPr>
        <w:t>; Sloan 1996</w:t>
      </w:r>
      <w:r w:rsidRPr="00D51EF4">
        <w:rPr>
          <w:lang w:val="en-GB"/>
        </w:rPr>
        <w:t>)</w:t>
      </w:r>
      <w:r w:rsidR="006E1EB0" w:rsidRPr="00D51EF4">
        <w:rPr>
          <w:lang w:val="en-GB"/>
        </w:rPr>
        <w:t xml:space="preserve"> (see</w:t>
      </w:r>
      <w:r w:rsidR="00DE6C3D" w:rsidRPr="00D51EF4">
        <w:rPr>
          <w:lang w:val="en-GB"/>
        </w:rPr>
        <w:t xml:space="preserve"> Table 1</w:t>
      </w:r>
      <w:r w:rsidR="006E1EB0" w:rsidRPr="00D51EF4">
        <w:rPr>
          <w:lang w:val="en-GB"/>
        </w:rPr>
        <w:t>)</w:t>
      </w:r>
      <w:r w:rsidR="0021763F" w:rsidRPr="00D51EF4">
        <w:rPr>
          <w:lang w:val="en-GB"/>
        </w:rPr>
        <w:t>, and a higher coefficient is associated with higher earnings quality.</w:t>
      </w:r>
      <w:r w:rsidR="00DC0C44" w:rsidRPr="00D51EF4">
        <w:rPr>
          <w:lang w:val="en-GB"/>
        </w:rPr>
        <w:t xml:space="preserve"> </w:t>
      </w:r>
      <w:r w:rsidR="0043648E" w:rsidRPr="00D51EF4">
        <w:rPr>
          <w:lang w:val="en-GB"/>
        </w:rPr>
        <w:t>Table 3</w:t>
      </w:r>
      <w:r w:rsidR="00F91F21" w:rsidRPr="00D51EF4">
        <w:rPr>
          <w:lang w:val="en-GB"/>
        </w:rPr>
        <w:t xml:space="preserve"> reports the results </w:t>
      </w:r>
      <w:r w:rsidR="006E1EB0" w:rsidRPr="00D51EF4">
        <w:rPr>
          <w:lang w:val="en-GB"/>
        </w:rPr>
        <w:t xml:space="preserve">of </w:t>
      </w:r>
      <w:r w:rsidR="00F91F21" w:rsidRPr="00D51EF4">
        <w:rPr>
          <w:lang w:val="en-GB"/>
        </w:rPr>
        <w:t>this regression. The regression coefficient of reported earnings is 0.52 for</w:t>
      </w:r>
      <w:r w:rsidR="006E1EB0" w:rsidRPr="00D51EF4">
        <w:rPr>
          <w:lang w:val="en-GB"/>
        </w:rPr>
        <w:t xml:space="preserve"> the</w:t>
      </w:r>
      <w:r w:rsidR="00F91F21" w:rsidRPr="00D51EF4">
        <w:rPr>
          <w:lang w:val="en-GB"/>
        </w:rPr>
        <w:t xml:space="preserve"> </w:t>
      </w:r>
      <w:r w:rsidR="006E1EB0" w:rsidRPr="00D51EF4">
        <w:rPr>
          <w:lang w:val="en-GB"/>
        </w:rPr>
        <w:t>for-</w:t>
      </w:r>
      <w:r w:rsidR="00F91F21" w:rsidRPr="00D51EF4">
        <w:rPr>
          <w:lang w:val="en-GB"/>
        </w:rPr>
        <w:t xml:space="preserve">profit </w:t>
      </w:r>
      <w:r w:rsidR="0064700B" w:rsidRPr="00D51EF4">
        <w:rPr>
          <w:lang w:val="en-GB"/>
        </w:rPr>
        <w:t>organisations</w:t>
      </w:r>
      <w:r w:rsidR="00F91F21" w:rsidRPr="00D51EF4">
        <w:rPr>
          <w:lang w:val="en-GB"/>
        </w:rPr>
        <w:t xml:space="preserve"> </w:t>
      </w:r>
      <w:r w:rsidR="006E1EB0" w:rsidRPr="00D51EF4">
        <w:rPr>
          <w:lang w:val="en-GB"/>
        </w:rPr>
        <w:t>and</w:t>
      </w:r>
      <w:r w:rsidR="00D45663">
        <w:rPr>
          <w:lang w:val="en-GB"/>
        </w:rPr>
        <w:t xml:space="preserve"> 0.47 for the </w:t>
      </w:r>
      <w:proofErr w:type="spellStart"/>
      <w:r w:rsidR="00D45663">
        <w:rPr>
          <w:lang w:val="en-GB"/>
        </w:rPr>
        <w:t>non</w:t>
      </w:r>
      <w:r w:rsidR="00F91F21" w:rsidRPr="00D51EF4">
        <w:rPr>
          <w:lang w:val="en-GB"/>
        </w:rPr>
        <w:t>profit</w:t>
      </w:r>
      <w:proofErr w:type="spellEnd"/>
      <w:r w:rsidR="00F91F21" w:rsidRPr="00D51EF4">
        <w:rPr>
          <w:lang w:val="en-GB"/>
        </w:rPr>
        <w:t xml:space="preserve"> MFIs. </w:t>
      </w:r>
      <w:r w:rsidR="00380F24" w:rsidRPr="00D51EF4">
        <w:rPr>
          <w:lang w:val="en-GB"/>
        </w:rPr>
        <w:t>The</w:t>
      </w:r>
      <w:r w:rsidR="00F91F21" w:rsidRPr="00D51EF4">
        <w:rPr>
          <w:lang w:val="en-GB"/>
        </w:rPr>
        <w:t xml:space="preserve"> difference is not statistically significant</w:t>
      </w:r>
      <w:r w:rsidR="006E1EB0" w:rsidRPr="00D51EF4">
        <w:rPr>
          <w:lang w:val="en-GB"/>
        </w:rPr>
        <w:t>.</w:t>
      </w:r>
      <w:r w:rsidR="0021763F" w:rsidRPr="00D51EF4">
        <w:rPr>
          <w:lang w:val="en-GB"/>
        </w:rPr>
        <w:t xml:space="preserve"> </w:t>
      </w:r>
      <w:r w:rsidR="006E1EB0" w:rsidRPr="00D51EF4">
        <w:rPr>
          <w:lang w:val="en-GB"/>
        </w:rPr>
        <w:t>Thus,</w:t>
      </w:r>
      <w:r w:rsidR="00380F24" w:rsidRPr="00D51EF4">
        <w:rPr>
          <w:lang w:val="en-GB"/>
        </w:rPr>
        <w:t xml:space="preserve"> our second earnings quality metric </w:t>
      </w:r>
      <w:r w:rsidR="006E1EB0" w:rsidRPr="00D51EF4">
        <w:rPr>
          <w:lang w:val="en-GB"/>
        </w:rPr>
        <w:t>does not suggest a</w:t>
      </w:r>
      <w:r w:rsidR="00380F24" w:rsidRPr="00D51EF4">
        <w:rPr>
          <w:lang w:val="en-GB"/>
        </w:rPr>
        <w:t xml:space="preserve"> difference in earnings quality between </w:t>
      </w:r>
      <w:r w:rsidR="0064700B" w:rsidRPr="00D51EF4">
        <w:rPr>
          <w:lang w:val="en-GB"/>
        </w:rPr>
        <w:t>for</w:t>
      </w:r>
      <w:r w:rsidR="006E1EB0" w:rsidRPr="00D51EF4">
        <w:rPr>
          <w:lang w:val="en-GB"/>
        </w:rPr>
        <w:t>-</w:t>
      </w:r>
      <w:r w:rsidR="000F7962">
        <w:rPr>
          <w:lang w:val="en-GB"/>
        </w:rPr>
        <w:t xml:space="preserve">profit and </w:t>
      </w:r>
      <w:proofErr w:type="spellStart"/>
      <w:r w:rsidR="000F7962">
        <w:rPr>
          <w:lang w:val="en-GB"/>
        </w:rPr>
        <w:t>non</w:t>
      </w:r>
      <w:r w:rsidR="0064700B" w:rsidRPr="00D51EF4">
        <w:rPr>
          <w:lang w:val="en-GB"/>
        </w:rPr>
        <w:t>profit</w:t>
      </w:r>
      <w:proofErr w:type="spellEnd"/>
      <w:r w:rsidR="0064700B" w:rsidRPr="00D51EF4">
        <w:rPr>
          <w:lang w:val="en-GB"/>
        </w:rPr>
        <w:t xml:space="preserve"> organisations</w:t>
      </w:r>
      <w:r w:rsidR="008A1200" w:rsidRPr="00D51EF4">
        <w:rPr>
          <w:lang w:val="en-GB"/>
        </w:rPr>
        <w:t>.</w:t>
      </w:r>
      <w:r w:rsidR="00F91F21" w:rsidRPr="00D51EF4">
        <w:rPr>
          <w:lang w:val="en-GB"/>
        </w:rPr>
        <w:t xml:space="preserve"> </w:t>
      </w:r>
    </w:p>
    <w:p w14:paraId="2A983085" w14:textId="77777777" w:rsidR="00657158" w:rsidRPr="00D51EF4" w:rsidRDefault="00657158" w:rsidP="00177388">
      <w:pPr>
        <w:spacing w:line="480" w:lineRule="auto"/>
        <w:jc w:val="both"/>
        <w:rPr>
          <w:lang w:val="en-GB"/>
        </w:rPr>
      </w:pPr>
    </w:p>
    <w:p w14:paraId="2B8A3370" w14:textId="77777777" w:rsidR="003D3DD3" w:rsidRPr="00D51EF4" w:rsidRDefault="003D3DD3" w:rsidP="00177388">
      <w:pPr>
        <w:spacing w:line="480" w:lineRule="auto"/>
        <w:jc w:val="both"/>
        <w:rPr>
          <w:lang w:val="en-GB"/>
        </w:rPr>
      </w:pPr>
      <w:r w:rsidRPr="00D51EF4">
        <w:rPr>
          <w:lang w:val="en-GB"/>
        </w:rPr>
        <w:tab/>
      </w:r>
      <w:r w:rsidRPr="00D51EF4">
        <w:rPr>
          <w:lang w:val="en-GB"/>
        </w:rPr>
        <w:tab/>
      </w:r>
      <w:r w:rsidRPr="00D51EF4">
        <w:rPr>
          <w:lang w:val="en-GB"/>
        </w:rPr>
        <w:tab/>
      </w:r>
      <w:r w:rsidR="0043648E" w:rsidRPr="00D51EF4">
        <w:rPr>
          <w:lang w:val="en-GB"/>
        </w:rPr>
        <w:t xml:space="preserve">[Insert Table </w:t>
      </w:r>
      <w:r w:rsidR="0021763F" w:rsidRPr="00D51EF4">
        <w:rPr>
          <w:lang w:val="en-GB"/>
        </w:rPr>
        <w:t>4</w:t>
      </w:r>
      <w:r w:rsidRPr="00D51EF4">
        <w:rPr>
          <w:lang w:val="en-GB"/>
        </w:rPr>
        <w:t xml:space="preserve"> about here]</w:t>
      </w:r>
    </w:p>
    <w:p w14:paraId="6FE41059" w14:textId="77777777" w:rsidR="00621501" w:rsidRPr="00D51EF4" w:rsidRDefault="00621501" w:rsidP="00177388">
      <w:pPr>
        <w:spacing w:line="480" w:lineRule="auto"/>
        <w:jc w:val="both"/>
        <w:rPr>
          <w:lang w:val="en-GB"/>
        </w:rPr>
      </w:pPr>
    </w:p>
    <w:p w14:paraId="1B541D2C" w14:textId="77777777" w:rsidR="00657158" w:rsidRPr="00D51EF4" w:rsidRDefault="00657158" w:rsidP="00177388">
      <w:pPr>
        <w:spacing w:line="480" w:lineRule="auto"/>
        <w:jc w:val="both"/>
        <w:rPr>
          <w:i/>
          <w:lang w:val="en-GB"/>
        </w:rPr>
      </w:pPr>
      <w:r w:rsidRPr="00D51EF4">
        <w:rPr>
          <w:i/>
          <w:lang w:val="en-GB"/>
        </w:rPr>
        <w:t xml:space="preserve">4.3. Earnings Predictability </w:t>
      </w:r>
    </w:p>
    <w:p w14:paraId="04EFD7C3" w14:textId="6C3F3CD4" w:rsidR="0041012F" w:rsidRPr="00D51EF4" w:rsidRDefault="0021763F" w:rsidP="00177388">
      <w:pPr>
        <w:spacing w:line="480" w:lineRule="auto"/>
        <w:jc w:val="both"/>
        <w:rPr>
          <w:lang w:val="en-GB"/>
        </w:rPr>
      </w:pPr>
      <w:r w:rsidRPr="00D51EF4">
        <w:rPr>
          <w:lang w:val="en-GB"/>
        </w:rPr>
        <w:t xml:space="preserve">Earnings predictability </w:t>
      </w:r>
      <w:proofErr w:type="gramStart"/>
      <w:r w:rsidRPr="00D51EF4">
        <w:rPr>
          <w:lang w:val="en-GB"/>
        </w:rPr>
        <w:t>is measured</w:t>
      </w:r>
      <w:proofErr w:type="gramEnd"/>
      <w:r w:rsidRPr="00D51EF4">
        <w:rPr>
          <w:lang w:val="en-GB"/>
        </w:rPr>
        <w:t xml:space="preserve"> as the adjusted R</w:t>
      </w:r>
      <w:r w:rsidRPr="00D51EF4">
        <w:rPr>
          <w:vertAlign w:val="superscript"/>
          <w:lang w:val="en-GB"/>
        </w:rPr>
        <w:t>2</w:t>
      </w:r>
      <w:r w:rsidR="00476F8B" w:rsidRPr="00D51EF4">
        <w:rPr>
          <w:lang w:val="en-GB"/>
        </w:rPr>
        <w:t xml:space="preserve"> from the</w:t>
      </w:r>
      <w:r w:rsidRPr="00D51EF4">
        <w:rPr>
          <w:lang w:val="en-GB"/>
        </w:rPr>
        <w:t xml:space="preserve"> regression of current on lagged earnings. </w:t>
      </w:r>
      <w:r w:rsidR="0043648E" w:rsidRPr="00D51EF4">
        <w:rPr>
          <w:lang w:val="en-GB"/>
        </w:rPr>
        <w:t xml:space="preserve">Table </w:t>
      </w:r>
      <w:r w:rsidRPr="00D51EF4">
        <w:rPr>
          <w:lang w:val="en-GB"/>
        </w:rPr>
        <w:t>4</w:t>
      </w:r>
      <w:r w:rsidR="00FB401D" w:rsidRPr="00D51EF4">
        <w:rPr>
          <w:lang w:val="en-GB"/>
        </w:rPr>
        <w:t xml:space="preserve"> suggests that earnings quality</w:t>
      </w:r>
      <w:r w:rsidR="00D8781F" w:rsidRPr="00D51EF4">
        <w:rPr>
          <w:lang w:val="en-GB"/>
        </w:rPr>
        <w:t>,</w:t>
      </w:r>
      <w:r w:rsidR="00FB401D" w:rsidRPr="00D51EF4">
        <w:rPr>
          <w:lang w:val="en-GB"/>
        </w:rPr>
        <w:t xml:space="preserve"> as measured by predicta</w:t>
      </w:r>
      <w:r w:rsidR="008C444F" w:rsidRPr="00D51EF4">
        <w:rPr>
          <w:lang w:val="en-GB"/>
        </w:rPr>
        <w:t>bility</w:t>
      </w:r>
      <w:r w:rsidR="00D8781F" w:rsidRPr="00D51EF4">
        <w:rPr>
          <w:lang w:val="en-GB"/>
        </w:rPr>
        <w:t>,</w:t>
      </w:r>
      <w:r w:rsidR="008C444F" w:rsidRPr="00D51EF4">
        <w:rPr>
          <w:lang w:val="en-GB"/>
        </w:rPr>
        <w:t xml:space="preserve"> is larger for for-profit MFIs</w:t>
      </w:r>
      <w:r w:rsidR="00D8781F" w:rsidRPr="00D51EF4">
        <w:rPr>
          <w:lang w:val="en-GB"/>
        </w:rPr>
        <w:t xml:space="preserve">; </w:t>
      </w:r>
      <w:r w:rsidR="008C444F" w:rsidRPr="00D51EF4">
        <w:rPr>
          <w:lang w:val="en-GB"/>
        </w:rPr>
        <w:t xml:space="preserve">compare </w:t>
      </w:r>
      <w:r w:rsidR="00A0697D" w:rsidRPr="00D51EF4">
        <w:rPr>
          <w:lang w:val="en-GB"/>
        </w:rPr>
        <w:t>the</w:t>
      </w:r>
      <w:r w:rsidR="008C444F" w:rsidRPr="00D51EF4">
        <w:rPr>
          <w:lang w:val="en-GB"/>
        </w:rPr>
        <w:t xml:space="preserve"> adjusted R</w:t>
      </w:r>
      <w:r w:rsidR="008C444F" w:rsidRPr="00D51EF4">
        <w:rPr>
          <w:vertAlign w:val="superscript"/>
          <w:lang w:val="en-GB"/>
        </w:rPr>
        <w:t>2</w:t>
      </w:r>
      <w:r w:rsidR="008C444F" w:rsidRPr="00D51EF4">
        <w:rPr>
          <w:lang w:val="en-GB"/>
        </w:rPr>
        <w:t xml:space="preserve"> of 54.62% for </w:t>
      </w:r>
      <w:r w:rsidR="00A0697D" w:rsidRPr="00D51EF4">
        <w:rPr>
          <w:lang w:val="en-GB"/>
        </w:rPr>
        <w:t>the for-profit MFIs</w:t>
      </w:r>
      <w:r w:rsidR="008C444F" w:rsidRPr="00D51EF4">
        <w:rPr>
          <w:lang w:val="en-GB"/>
        </w:rPr>
        <w:t xml:space="preserve"> </w:t>
      </w:r>
      <w:r w:rsidR="00A63B8D" w:rsidRPr="00D51EF4">
        <w:rPr>
          <w:lang w:val="en-GB"/>
        </w:rPr>
        <w:t>with</w:t>
      </w:r>
      <w:r w:rsidR="008C444F" w:rsidRPr="00D51EF4">
        <w:rPr>
          <w:lang w:val="en-GB"/>
        </w:rPr>
        <w:t xml:space="preserve"> </w:t>
      </w:r>
      <w:r w:rsidR="00A0697D" w:rsidRPr="00D51EF4">
        <w:rPr>
          <w:lang w:val="en-GB"/>
        </w:rPr>
        <w:t xml:space="preserve">the value of </w:t>
      </w:r>
      <w:r w:rsidR="00D45663">
        <w:rPr>
          <w:lang w:val="en-GB"/>
        </w:rPr>
        <w:t xml:space="preserve">only 34.43% for the </w:t>
      </w:r>
      <w:proofErr w:type="spellStart"/>
      <w:r w:rsidR="00D45663">
        <w:rPr>
          <w:lang w:val="en-GB"/>
        </w:rPr>
        <w:t>non</w:t>
      </w:r>
      <w:r w:rsidR="008C444F" w:rsidRPr="00D51EF4">
        <w:rPr>
          <w:lang w:val="en-GB"/>
        </w:rPr>
        <w:t>profit</w:t>
      </w:r>
      <w:proofErr w:type="spellEnd"/>
      <w:r w:rsidR="008C444F" w:rsidRPr="00D51EF4">
        <w:rPr>
          <w:lang w:val="en-GB"/>
        </w:rPr>
        <w:t xml:space="preserve"> organi</w:t>
      </w:r>
      <w:r w:rsidR="00D411BD" w:rsidRPr="00D51EF4">
        <w:rPr>
          <w:lang w:val="en-GB"/>
        </w:rPr>
        <w:t>s</w:t>
      </w:r>
      <w:r w:rsidR="008C444F" w:rsidRPr="00D51EF4">
        <w:rPr>
          <w:lang w:val="en-GB"/>
        </w:rPr>
        <w:t xml:space="preserve">ations. </w:t>
      </w:r>
      <w:r w:rsidR="0041012F" w:rsidRPr="00D51EF4">
        <w:rPr>
          <w:lang w:val="en-GB"/>
        </w:rPr>
        <w:t>This difference is highly significant</w:t>
      </w:r>
      <w:r w:rsidR="00A4126D" w:rsidRPr="00D51EF4">
        <w:rPr>
          <w:lang w:val="en-GB"/>
        </w:rPr>
        <w:t>.</w:t>
      </w:r>
      <w:r w:rsidR="00B75F94" w:rsidRPr="00D51EF4">
        <w:rPr>
          <w:lang w:val="en-GB"/>
        </w:rPr>
        <w:t xml:space="preserve"> </w:t>
      </w:r>
      <w:r w:rsidR="0041012F" w:rsidRPr="00D51EF4">
        <w:rPr>
          <w:lang w:val="en-GB"/>
        </w:rPr>
        <w:t xml:space="preserve">The overall conclusion </w:t>
      </w:r>
      <w:r w:rsidR="00A0697D" w:rsidRPr="00D51EF4">
        <w:rPr>
          <w:lang w:val="en-GB"/>
        </w:rPr>
        <w:t>from</w:t>
      </w:r>
      <w:r w:rsidR="00D8781F" w:rsidRPr="00D51EF4">
        <w:rPr>
          <w:lang w:val="en-GB"/>
        </w:rPr>
        <w:t xml:space="preserve"> </w:t>
      </w:r>
      <w:r w:rsidR="0041012F" w:rsidRPr="00D51EF4">
        <w:rPr>
          <w:lang w:val="en-GB"/>
        </w:rPr>
        <w:t xml:space="preserve">Table </w:t>
      </w:r>
      <w:r w:rsidR="00476F8B" w:rsidRPr="00D51EF4">
        <w:rPr>
          <w:lang w:val="en-GB"/>
        </w:rPr>
        <w:t>4</w:t>
      </w:r>
      <w:r w:rsidR="0041012F" w:rsidRPr="00D51EF4">
        <w:rPr>
          <w:lang w:val="en-GB"/>
        </w:rPr>
        <w:t xml:space="preserve"> is that </w:t>
      </w:r>
      <w:r w:rsidR="00715C26" w:rsidRPr="00D51EF4">
        <w:rPr>
          <w:lang w:val="en-GB"/>
        </w:rPr>
        <w:t xml:space="preserve">the third metric of </w:t>
      </w:r>
      <w:r w:rsidR="0041012F" w:rsidRPr="00D51EF4">
        <w:rPr>
          <w:lang w:val="en-GB"/>
        </w:rPr>
        <w:t>earnings quality</w:t>
      </w:r>
      <w:r w:rsidR="00D8781F" w:rsidRPr="00D51EF4">
        <w:rPr>
          <w:lang w:val="en-GB"/>
        </w:rPr>
        <w:t>,</w:t>
      </w:r>
      <w:r w:rsidR="0041012F" w:rsidRPr="00D51EF4">
        <w:rPr>
          <w:lang w:val="en-GB"/>
        </w:rPr>
        <w:t xml:space="preserve"> </w:t>
      </w:r>
      <w:r w:rsidR="00715C26" w:rsidRPr="00D51EF4">
        <w:rPr>
          <w:lang w:val="en-GB"/>
        </w:rPr>
        <w:t>earnings</w:t>
      </w:r>
      <w:r w:rsidR="00D8781F" w:rsidRPr="00D51EF4">
        <w:rPr>
          <w:lang w:val="en-GB"/>
        </w:rPr>
        <w:t xml:space="preserve"> </w:t>
      </w:r>
      <w:r w:rsidR="0041012F" w:rsidRPr="00D51EF4">
        <w:rPr>
          <w:lang w:val="en-GB"/>
        </w:rPr>
        <w:t>predictability</w:t>
      </w:r>
      <w:r w:rsidR="00D8781F" w:rsidRPr="00D51EF4">
        <w:rPr>
          <w:lang w:val="en-GB"/>
        </w:rPr>
        <w:t>,</w:t>
      </w:r>
      <w:r w:rsidR="0041012F" w:rsidRPr="00D51EF4">
        <w:rPr>
          <w:lang w:val="en-GB"/>
        </w:rPr>
        <w:t xml:space="preserve"> </w:t>
      </w:r>
      <w:r w:rsidR="00A0697D" w:rsidRPr="00D51EF4">
        <w:rPr>
          <w:lang w:val="en-GB"/>
        </w:rPr>
        <w:t>is</w:t>
      </w:r>
      <w:r w:rsidR="0041012F" w:rsidRPr="00D51EF4">
        <w:rPr>
          <w:lang w:val="en-GB"/>
        </w:rPr>
        <w:t xml:space="preserve"> larger for for-profit </w:t>
      </w:r>
      <w:r w:rsidR="00D8781F" w:rsidRPr="00D51EF4">
        <w:rPr>
          <w:lang w:val="en-GB"/>
        </w:rPr>
        <w:t xml:space="preserve">MFIs </w:t>
      </w:r>
      <w:r w:rsidR="0041012F" w:rsidRPr="00D51EF4">
        <w:rPr>
          <w:lang w:val="en-GB"/>
        </w:rPr>
        <w:t xml:space="preserve">than </w:t>
      </w:r>
      <w:r w:rsidR="00D8781F" w:rsidRPr="00D51EF4">
        <w:rPr>
          <w:lang w:val="en-GB"/>
        </w:rPr>
        <w:t xml:space="preserve">for </w:t>
      </w:r>
      <w:proofErr w:type="spellStart"/>
      <w:r w:rsidR="0041012F" w:rsidRPr="00D51EF4">
        <w:rPr>
          <w:lang w:val="en-GB"/>
        </w:rPr>
        <w:t>nonprofit</w:t>
      </w:r>
      <w:proofErr w:type="spellEnd"/>
      <w:r w:rsidR="0041012F" w:rsidRPr="00D51EF4">
        <w:rPr>
          <w:lang w:val="en-GB"/>
        </w:rPr>
        <w:t xml:space="preserve"> MFIs. </w:t>
      </w:r>
    </w:p>
    <w:p w14:paraId="0034FEDA" w14:textId="77777777" w:rsidR="0041012F" w:rsidRPr="00D51EF4" w:rsidRDefault="0041012F" w:rsidP="00177388">
      <w:pPr>
        <w:spacing w:line="480" w:lineRule="auto"/>
        <w:jc w:val="both"/>
        <w:rPr>
          <w:lang w:val="en-GB"/>
        </w:rPr>
      </w:pPr>
    </w:p>
    <w:p w14:paraId="0C21AEB7" w14:textId="77777777" w:rsidR="00657158" w:rsidRPr="00D51EF4" w:rsidRDefault="0041012F" w:rsidP="00177388">
      <w:pPr>
        <w:spacing w:line="480" w:lineRule="auto"/>
        <w:jc w:val="both"/>
        <w:rPr>
          <w:i/>
          <w:lang w:val="en-GB"/>
        </w:rPr>
      </w:pPr>
      <w:r w:rsidRPr="00D51EF4">
        <w:rPr>
          <w:i/>
          <w:lang w:val="en-GB"/>
        </w:rPr>
        <w:lastRenderedPageBreak/>
        <w:t xml:space="preserve">4.4. Earnings Management </w:t>
      </w:r>
    </w:p>
    <w:p w14:paraId="03385AD5" w14:textId="1D5F1487" w:rsidR="00C66334" w:rsidRPr="00D51EF4" w:rsidRDefault="00362DF7" w:rsidP="00177388">
      <w:pPr>
        <w:spacing w:line="480" w:lineRule="auto"/>
        <w:jc w:val="both"/>
        <w:rPr>
          <w:lang w:val="en-GB"/>
        </w:rPr>
      </w:pPr>
      <w:r w:rsidRPr="00D51EF4">
        <w:rPr>
          <w:lang w:val="en-GB"/>
        </w:rPr>
        <w:t>The presence of earnings management depresses earnings quality. We apply three metrics for earnings management</w:t>
      </w:r>
      <w:r w:rsidR="00575BCF" w:rsidRPr="00D51EF4">
        <w:rPr>
          <w:lang w:val="en-GB"/>
        </w:rPr>
        <w:t xml:space="preserve"> (see</w:t>
      </w:r>
      <w:r w:rsidRPr="00D51EF4">
        <w:rPr>
          <w:lang w:val="en-GB"/>
        </w:rPr>
        <w:t xml:space="preserve"> Table 1</w:t>
      </w:r>
      <w:r w:rsidR="00575BCF" w:rsidRPr="00D51EF4">
        <w:rPr>
          <w:lang w:val="en-GB"/>
        </w:rPr>
        <w:t>)</w:t>
      </w:r>
      <w:r w:rsidRPr="00D51EF4">
        <w:rPr>
          <w:lang w:val="en-GB"/>
        </w:rPr>
        <w:t xml:space="preserve">. </w:t>
      </w:r>
      <w:r w:rsidR="00412CE7" w:rsidRPr="00D51EF4">
        <w:rPr>
          <w:lang w:val="en-GB"/>
        </w:rPr>
        <w:t xml:space="preserve">The results </w:t>
      </w:r>
      <w:proofErr w:type="gramStart"/>
      <w:r w:rsidR="00412CE7" w:rsidRPr="00D51EF4">
        <w:rPr>
          <w:lang w:val="en-GB"/>
        </w:rPr>
        <w:t>are presented</w:t>
      </w:r>
      <w:proofErr w:type="gramEnd"/>
      <w:r w:rsidR="00412CE7" w:rsidRPr="00D51EF4">
        <w:rPr>
          <w:lang w:val="en-GB"/>
        </w:rPr>
        <w:t xml:space="preserve"> in Table 5. </w:t>
      </w:r>
      <w:r w:rsidR="0073320B" w:rsidRPr="00D51EF4">
        <w:rPr>
          <w:lang w:val="en-GB"/>
        </w:rPr>
        <w:t xml:space="preserve">If the standard deviation of the change in earnings </w:t>
      </w:r>
      <w:proofErr w:type="gramStart"/>
      <w:r w:rsidR="00D8781F" w:rsidRPr="00D51EF4">
        <w:rPr>
          <w:lang w:val="en-GB"/>
        </w:rPr>
        <w:t>is used</w:t>
      </w:r>
      <w:proofErr w:type="gramEnd"/>
      <w:r w:rsidR="00D8781F" w:rsidRPr="00D51EF4">
        <w:rPr>
          <w:lang w:val="en-GB"/>
        </w:rPr>
        <w:t xml:space="preserve"> </w:t>
      </w:r>
      <w:r w:rsidR="0073320B" w:rsidRPr="00D51EF4">
        <w:rPr>
          <w:lang w:val="en-GB"/>
        </w:rPr>
        <w:t xml:space="preserve">as an earnings management proxy, the </w:t>
      </w:r>
      <w:r w:rsidR="00BE1843" w:rsidRPr="00D51EF4">
        <w:rPr>
          <w:lang w:val="en-GB"/>
        </w:rPr>
        <w:t xml:space="preserve">reported </w:t>
      </w:r>
      <w:r w:rsidR="00FA0D34">
        <w:rPr>
          <w:lang w:val="en-GB"/>
        </w:rPr>
        <w:t xml:space="preserve">earnings of </w:t>
      </w:r>
      <w:proofErr w:type="spellStart"/>
      <w:r w:rsidR="00FA0D34">
        <w:rPr>
          <w:lang w:val="en-GB"/>
        </w:rPr>
        <w:t>non</w:t>
      </w:r>
      <w:r w:rsidR="0073320B" w:rsidRPr="00D51EF4">
        <w:rPr>
          <w:lang w:val="en-GB"/>
        </w:rPr>
        <w:t>profit</w:t>
      </w:r>
      <w:proofErr w:type="spellEnd"/>
      <w:r w:rsidR="0073320B" w:rsidRPr="00D51EF4">
        <w:rPr>
          <w:lang w:val="en-GB"/>
        </w:rPr>
        <w:t xml:space="preserve"> MFIs appear to be the least contaminated by earnings manipulation. However, the for-profit MFIs report </w:t>
      </w:r>
      <w:r w:rsidR="00D8781F" w:rsidRPr="00D51EF4">
        <w:rPr>
          <w:lang w:val="en-GB"/>
        </w:rPr>
        <w:t xml:space="preserve">a </w:t>
      </w:r>
      <w:r w:rsidR="0073320B" w:rsidRPr="00D51EF4">
        <w:rPr>
          <w:lang w:val="en-GB"/>
        </w:rPr>
        <w:t xml:space="preserve">smaller frequency of small earnings and </w:t>
      </w:r>
      <w:r w:rsidR="00D8781F" w:rsidRPr="00D51EF4">
        <w:rPr>
          <w:lang w:val="en-GB"/>
        </w:rPr>
        <w:t xml:space="preserve">a </w:t>
      </w:r>
      <w:r w:rsidR="0073320B" w:rsidRPr="00D51EF4">
        <w:rPr>
          <w:lang w:val="en-GB"/>
        </w:rPr>
        <w:t xml:space="preserve">larger frequency of large losses. These two findings suggest less earnings management among the for-profit MFIs than </w:t>
      </w:r>
      <w:r w:rsidR="00D8781F" w:rsidRPr="00D51EF4">
        <w:rPr>
          <w:lang w:val="en-GB"/>
        </w:rPr>
        <w:t xml:space="preserve">among </w:t>
      </w:r>
      <w:r w:rsidR="00FA0D34">
        <w:rPr>
          <w:lang w:val="en-GB"/>
        </w:rPr>
        <w:t xml:space="preserve">their </w:t>
      </w:r>
      <w:proofErr w:type="spellStart"/>
      <w:r w:rsidR="00FA0D34">
        <w:rPr>
          <w:lang w:val="en-GB"/>
        </w:rPr>
        <w:t>non</w:t>
      </w:r>
      <w:r w:rsidR="0073320B" w:rsidRPr="00D51EF4">
        <w:rPr>
          <w:lang w:val="en-GB"/>
        </w:rPr>
        <w:t>profit</w:t>
      </w:r>
      <w:proofErr w:type="spellEnd"/>
      <w:r w:rsidR="0073320B" w:rsidRPr="00D51EF4">
        <w:rPr>
          <w:lang w:val="en-GB"/>
        </w:rPr>
        <w:t xml:space="preserve"> counterparts. </w:t>
      </w:r>
      <w:r w:rsidR="00094D99" w:rsidRPr="00D51EF4">
        <w:rPr>
          <w:lang w:val="en-GB"/>
        </w:rPr>
        <w:t xml:space="preserve">The result </w:t>
      </w:r>
      <w:r w:rsidR="008E3BE4" w:rsidRPr="00D51EF4">
        <w:rPr>
          <w:lang w:val="en-GB"/>
        </w:rPr>
        <w:t xml:space="preserve">for </w:t>
      </w:r>
      <w:r w:rsidR="00094D99" w:rsidRPr="00D51EF4">
        <w:rPr>
          <w:lang w:val="en-GB"/>
        </w:rPr>
        <w:t>the standard deviation of the change in earnings is statistically significant, whereas the</w:t>
      </w:r>
      <w:r w:rsidR="000C07B1" w:rsidRPr="00D51EF4">
        <w:rPr>
          <w:lang w:val="en-GB"/>
        </w:rPr>
        <w:t xml:space="preserve"> results </w:t>
      </w:r>
      <w:r w:rsidR="008E3BE4" w:rsidRPr="00D51EF4">
        <w:rPr>
          <w:lang w:val="en-GB"/>
        </w:rPr>
        <w:t>for</w:t>
      </w:r>
      <w:r w:rsidR="000C07B1" w:rsidRPr="00D51EF4">
        <w:rPr>
          <w:lang w:val="en-GB"/>
        </w:rPr>
        <w:t xml:space="preserve"> small profit</w:t>
      </w:r>
      <w:r w:rsidR="008E3BE4" w:rsidRPr="00D51EF4">
        <w:rPr>
          <w:lang w:val="en-GB"/>
        </w:rPr>
        <w:t>s</w:t>
      </w:r>
      <w:r w:rsidR="000C07B1" w:rsidRPr="00D51EF4">
        <w:rPr>
          <w:lang w:val="en-GB"/>
        </w:rPr>
        <w:t xml:space="preserve"> and large losses are insignificant. </w:t>
      </w:r>
      <w:r w:rsidR="008E3BE4" w:rsidRPr="00D51EF4">
        <w:rPr>
          <w:lang w:val="en-GB"/>
        </w:rPr>
        <w:t>Because of</w:t>
      </w:r>
      <w:r w:rsidR="000C07B1" w:rsidRPr="00D51EF4">
        <w:rPr>
          <w:lang w:val="en-GB"/>
        </w:rPr>
        <w:t xml:space="preserve"> the statistically weak results </w:t>
      </w:r>
      <w:r w:rsidR="008E3BE4" w:rsidRPr="00D51EF4">
        <w:rPr>
          <w:lang w:val="en-GB"/>
        </w:rPr>
        <w:t>and the difficulty of measuring</w:t>
      </w:r>
      <w:r w:rsidRPr="00D51EF4">
        <w:rPr>
          <w:lang w:val="en-GB"/>
        </w:rPr>
        <w:t xml:space="preserve"> earning</w:t>
      </w:r>
      <w:r w:rsidR="000C07B1" w:rsidRPr="00D51EF4">
        <w:rPr>
          <w:lang w:val="en-GB"/>
        </w:rPr>
        <w:t xml:space="preserve">s management </w:t>
      </w:r>
      <w:r w:rsidR="00412CE7" w:rsidRPr="00D51EF4">
        <w:rPr>
          <w:lang w:val="en-GB"/>
        </w:rPr>
        <w:t>(Lang et al.</w:t>
      </w:r>
      <w:r w:rsidRPr="00D51EF4">
        <w:rPr>
          <w:lang w:val="en-GB"/>
        </w:rPr>
        <w:t xml:space="preserve"> 2006)</w:t>
      </w:r>
      <w:r w:rsidR="000C07B1" w:rsidRPr="00D51EF4">
        <w:rPr>
          <w:lang w:val="en-GB"/>
        </w:rPr>
        <w:t>, we conclude that we are unable to document differences in earnings management between the two samples.</w:t>
      </w:r>
      <w:r w:rsidRPr="00D51EF4">
        <w:rPr>
          <w:lang w:val="en-GB"/>
        </w:rPr>
        <w:t xml:space="preserve"> </w:t>
      </w:r>
    </w:p>
    <w:p w14:paraId="24014FA6" w14:textId="77777777" w:rsidR="00362DF7" w:rsidRPr="00D51EF4" w:rsidRDefault="00362DF7" w:rsidP="00177388">
      <w:pPr>
        <w:spacing w:line="480" w:lineRule="auto"/>
        <w:jc w:val="both"/>
        <w:rPr>
          <w:lang w:val="en-GB"/>
        </w:rPr>
      </w:pPr>
    </w:p>
    <w:p w14:paraId="61595951" w14:textId="77777777" w:rsidR="00362DF7" w:rsidRPr="00D51EF4" w:rsidRDefault="00362DF7" w:rsidP="00362DF7">
      <w:pPr>
        <w:spacing w:line="480" w:lineRule="auto"/>
        <w:jc w:val="both"/>
        <w:rPr>
          <w:lang w:val="en-GB"/>
        </w:rPr>
      </w:pPr>
      <w:r w:rsidRPr="00D51EF4">
        <w:rPr>
          <w:lang w:val="en-GB"/>
        </w:rPr>
        <w:tab/>
      </w:r>
      <w:r w:rsidRPr="00D51EF4">
        <w:rPr>
          <w:lang w:val="en-GB"/>
        </w:rPr>
        <w:tab/>
      </w:r>
      <w:r w:rsidRPr="00D51EF4">
        <w:rPr>
          <w:lang w:val="en-GB"/>
        </w:rPr>
        <w:tab/>
        <w:t xml:space="preserve">[Insert Table </w:t>
      </w:r>
      <w:r w:rsidR="00412CE7" w:rsidRPr="00D51EF4">
        <w:rPr>
          <w:lang w:val="en-GB"/>
        </w:rPr>
        <w:t>5</w:t>
      </w:r>
      <w:r w:rsidRPr="00D51EF4">
        <w:rPr>
          <w:lang w:val="en-GB"/>
        </w:rPr>
        <w:t xml:space="preserve"> about here]</w:t>
      </w:r>
    </w:p>
    <w:p w14:paraId="3BC46359" w14:textId="77777777" w:rsidR="00D21935" w:rsidRPr="00D51EF4" w:rsidRDefault="00D21935" w:rsidP="00177388">
      <w:pPr>
        <w:spacing w:line="480" w:lineRule="auto"/>
        <w:jc w:val="both"/>
        <w:rPr>
          <w:lang w:val="en-GB"/>
        </w:rPr>
      </w:pPr>
    </w:p>
    <w:p w14:paraId="78242EE3" w14:textId="77777777" w:rsidR="00D21935" w:rsidRPr="00D51EF4" w:rsidRDefault="008442AA" w:rsidP="00177388">
      <w:pPr>
        <w:spacing w:line="480" w:lineRule="auto"/>
        <w:jc w:val="both"/>
        <w:rPr>
          <w:i/>
          <w:lang w:val="en-GB"/>
        </w:rPr>
      </w:pPr>
      <w:r w:rsidRPr="00D51EF4">
        <w:rPr>
          <w:i/>
          <w:lang w:val="en-GB"/>
        </w:rPr>
        <w:t xml:space="preserve">4.5. </w:t>
      </w:r>
      <w:r w:rsidR="00D21935" w:rsidRPr="00D51EF4">
        <w:rPr>
          <w:i/>
          <w:lang w:val="en-GB"/>
        </w:rPr>
        <w:t xml:space="preserve">Rating Relevance </w:t>
      </w:r>
    </w:p>
    <w:p w14:paraId="1F27A757" w14:textId="7C3CE70B" w:rsidR="00D21935" w:rsidRPr="00D51EF4" w:rsidRDefault="00D21935">
      <w:pPr>
        <w:autoSpaceDE w:val="0"/>
        <w:autoSpaceDN w:val="0"/>
        <w:adjustRightInd w:val="0"/>
        <w:spacing w:line="480" w:lineRule="auto"/>
        <w:jc w:val="both"/>
        <w:rPr>
          <w:lang w:val="en-GB"/>
        </w:rPr>
      </w:pPr>
      <w:proofErr w:type="gramStart"/>
      <w:r w:rsidRPr="00D51EF4">
        <w:rPr>
          <w:lang w:val="en-GB"/>
        </w:rPr>
        <w:t>MFI ratings are frequently applied by investors, donors</w:t>
      </w:r>
      <w:r w:rsidR="008808A0" w:rsidRPr="00D51EF4">
        <w:rPr>
          <w:lang w:val="en-GB"/>
        </w:rPr>
        <w:t>,</w:t>
      </w:r>
      <w:r w:rsidRPr="00D51EF4">
        <w:rPr>
          <w:lang w:val="en-GB"/>
        </w:rPr>
        <w:t xml:space="preserve"> and other stakeholders when evaluating the overall performance of an MFI</w:t>
      </w:r>
      <w:proofErr w:type="gramEnd"/>
      <w:r w:rsidRPr="00D51EF4">
        <w:rPr>
          <w:lang w:val="en-GB"/>
        </w:rPr>
        <w:t>. We interpret a positive association between earnings and the ratings as a measure of earnings usefulness</w:t>
      </w:r>
      <w:r w:rsidR="00D8781F" w:rsidRPr="00D51EF4">
        <w:rPr>
          <w:lang w:val="en-GB"/>
        </w:rPr>
        <w:t xml:space="preserve"> </w:t>
      </w:r>
      <w:r w:rsidRPr="00D51EF4">
        <w:rPr>
          <w:lang w:val="en-GB"/>
        </w:rPr>
        <w:t>and thus</w:t>
      </w:r>
      <w:r w:rsidR="00D8781F" w:rsidRPr="00D51EF4">
        <w:rPr>
          <w:lang w:val="en-GB"/>
        </w:rPr>
        <w:t xml:space="preserve"> of </w:t>
      </w:r>
      <w:r w:rsidRPr="00D51EF4">
        <w:rPr>
          <w:lang w:val="en-GB"/>
        </w:rPr>
        <w:t>earnings quality</w:t>
      </w:r>
      <w:r w:rsidR="008808A0" w:rsidRPr="00D51EF4">
        <w:rPr>
          <w:lang w:val="en-GB"/>
        </w:rPr>
        <w:t xml:space="preserve"> (</w:t>
      </w:r>
      <w:r w:rsidR="00FA0D34" w:rsidRPr="00070525">
        <w:rPr>
          <w:lang w:val="en-GB"/>
        </w:rPr>
        <w:t>Beisland and Mersland 2013</w:t>
      </w:r>
      <w:r w:rsidR="008808A0" w:rsidRPr="00D51EF4">
        <w:rPr>
          <w:lang w:val="en-GB"/>
        </w:rPr>
        <w:t>)</w:t>
      </w:r>
      <w:r w:rsidRPr="00D51EF4">
        <w:rPr>
          <w:lang w:val="en-GB"/>
        </w:rPr>
        <w:t xml:space="preserve">. We follow prior research (Gutiérrez-Nieto and Serrano-Cinka 2007; Beisland and Mersland </w:t>
      </w:r>
      <w:r w:rsidR="008808A0" w:rsidRPr="00D51EF4">
        <w:rPr>
          <w:lang w:val="en-GB"/>
        </w:rPr>
        <w:t>2012</w:t>
      </w:r>
      <w:r w:rsidRPr="00D51EF4">
        <w:rPr>
          <w:lang w:val="en-GB"/>
        </w:rPr>
        <w:t xml:space="preserve">) </w:t>
      </w:r>
      <w:r w:rsidR="00D8781F" w:rsidRPr="00D51EF4">
        <w:rPr>
          <w:lang w:val="en-GB"/>
        </w:rPr>
        <w:t xml:space="preserve">in </w:t>
      </w:r>
      <w:r w:rsidRPr="00D51EF4">
        <w:rPr>
          <w:lang w:val="en-GB"/>
        </w:rPr>
        <w:t>assum</w:t>
      </w:r>
      <w:r w:rsidR="00D8781F" w:rsidRPr="00D51EF4">
        <w:rPr>
          <w:lang w:val="en-GB"/>
        </w:rPr>
        <w:t>ing</w:t>
      </w:r>
      <w:r w:rsidRPr="00D51EF4">
        <w:rPr>
          <w:lang w:val="en-GB"/>
        </w:rPr>
        <w:t xml:space="preserve"> that the rating of </w:t>
      </w:r>
      <w:r w:rsidR="008E3BE4" w:rsidRPr="00D51EF4">
        <w:rPr>
          <w:lang w:val="en-GB"/>
        </w:rPr>
        <w:t xml:space="preserve">an </w:t>
      </w:r>
      <w:r w:rsidRPr="00D51EF4">
        <w:rPr>
          <w:lang w:val="en-GB"/>
        </w:rPr>
        <w:t xml:space="preserve">MFI is a function of </w:t>
      </w:r>
      <w:r w:rsidR="008E3BE4" w:rsidRPr="00D51EF4">
        <w:rPr>
          <w:lang w:val="en-GB"/>
        </w:rPr>
        <w:t xml:space="preserve">its </w:t>
      </w:r>
      <w:r w:rsidRPr="00D51EF4">
        <w:rPr>
          <w:lang w:val="en-GB"/>
        </w:rPr>
        <w:t>size, profitability, efficiency, and risk</w:t>
      </w:r>
      <w:r w:rsidR="00141CF0" w:rsidRPr="00D51EF4">
        <w:rPr>
          <w:lang w:val="en-GB"/>
        </w:rPr>
        <w:t>.</w:t>
      </w:r>
      <w:r w:rsidR="00A36C13" w:rsidRPr="00D51EF4">
        <w:rPr>
          <w:lang w:val="en-GB"/>
        </w:rPr>
        <w:t xml:space="preserve"> </w:t>
      </w:r>
      <w:r w:rsidR="00A84A1A" w:rsidRPr="00D51EF4">
        <w:rPr>
          <w:lang w:val="en-GB"/>
        </w:rPr>
        <w:t>Because of</w:t>
      </w:r>
      <w:r w:rsidR="008442AA" w:rsidRPr="00D51EF4">
        <w:rPr>
          <w:lang w:val="en-GB"/>
        </w:rPr>
        <w:t xml:space="preserve"> the ordinal nature of the rating scale, the regression </w:t>
      </w:r>
      <w:proofErr w:type="gramStart"/>
      <w:r w:rsidR="008442AA" w:rsidRPr="00D51EF4">
        <w:rPr>
          <w:lang w:val="en-GB"/>
        </w:rPr>
        <w:t>is estimated</w:t>
      </w:r>
      <w:proofErr w:type="gramEnd"/>
      <w:r w:rsidR="008442AA" w:rsidRPr="00D51EF4">
        <w:rPr>
          <w:lang w:val="en-GB"/>
        </w:rPr>
        <w:t xml:space="preserve"> using </w:t>
      </w:r>
      <w:r w:rsidR="009007C7" w:rsidRPr="00D51EF4">
        <w:rPr>
          <w:lang w:val="en-GB"/>
        </w:rPr>
        <w:t xml:space="preserve">an </w:t>
      </w:r>
      <w:r w:rsidR="008442AA" w:rsidRPr="00D51EF4">
        <w:rPr>
          <w:lang w:val="en-GB"/>
        </w:rPr>
        <w:t>ordered logistic regression (Greene, 2003)</w:t>
      </w:r>
      <w:r w:rsidR="00A84A1A" w:rsidRPr="00D51EF4">
        <w:rPr>
          <w:lang w:val="en-GB"/>
        </w:rPr>
        <w:t>.</w:t>
      </w:r>
      <w:r w:rsidR="00980134" w:rsidRPr="00D51EF4">
        <w:rPr>
          <w:lang w:val="en-GB"/>
        </w:rPr>
        <w:t xml:space="preserve"> </w:t>
      </w:r>
      <w:r w:rsidR="00A84A1A" w:rsidRPr="00D51EF4">
        <w:rPr>
          <w:lang w:val="en-GB"/>
        </w:rPr>
        <w:t xml:space="preserve">See </w:t>
      </w:r>
      <w:r w:rsidR="00980134" w:rsidRPr="00D51EF4">
        <w:rPr>
          <w:lang w:val="en-GB"/>
        </w:rPr>
        <w:t>Table 6</w:t>
      </w:r>
      <w:r w:rsidR="00A36C13" w:rsidRPr="00D51EF4">
        <w:rPr>
          <w:lang w:val="en-GB"/>
        </w:rPr>
        <w:t xml:space="preserve"> for </w:t>
      </w:r>
      <w:r w:rsidR="00A84A1A" w:rsidRPr="00D51EF4">
        <w:rPr>
          <w:lang w:val="en-GB"/>
        </w:rPr>
        <w:t xml:space="preserve">the results of the </w:t>
      </w:r>
      <w:r w:rsidR="00A36C13" w:rsidRPr="00D51EF4">
        <w:rPr>
          <w:lang w:val="en-GB"/>
        </w:rPr>
        <w:t>regression</w:t>
      </w:r>
      <w:r w:rsidR="00980134" w:rsidRPr="00D51EF4">
        <w:rPr>
          <w:lang w:val="en-GB"/>
        </w:rPr>
        <w:t>.</w:t>
      </w:r>
    </w:p>
    <w:p w14:paraId="4F4B653C" w14:textId="77777777" w:rsidR="008442AA" w:rsidRPr="00D51EF4" w:rsidRDefault="008442AA" w:rsidP="00D21935">
      <w:pPr>
        <w:autoSpaceDE w:val="0"/>
        <w:autoSpaceDN w:val="0"/>
        <w:adjustRightInd w:val="0"/>
        <w:spacing w:line="480" w:lineRule="auto"/>
        <w:jc w:val="both"/>
        <w:rPr>
          <w:lang w:val="en-GB"/>
        </w:rPr>
      </w:pPr>
    </w:p>
    <w:p w14:paraId="1A778438" w14:textId="77777777" w:rsidR="00306BA3" w:rsidRPr="00D51EF4" w:rsidRDefault="00306BA3" w:rsidP="00D21935">
      <w:pPr>
        <w:autoSpaceDE w:val="0"/>
        <w:autoSpaceDN w:val="0"/>
        <w:adjustRightInd w:val="0"/>
        <w:spacing w:line="480" w:lineRule="auto"/>
        <w:jc w:val="both"/>
        <w:rPr>
          <w:lang w:val="en-GB"/>
        </w:rPr>
      </w:pPr>
      <w:r w:rsidRPr="00D51EF4">
        <w:rPr>
          <w:lang w:val="en-GB"/>
        </w:rPr>
        <w:lastRenderedPageBreak/>
        <w:tab/>
      </w:r>
      <w:r w:rsidRPr="00D51EF4">
        <w:rPr>
          <w:lang w:val="en-GB"/>
        </w:rPr>
        <w:tab/>
      </w:r>
      <w:r w:rsidRPr="00D51EF4">
        <w:rPr>
          <w:lang w:val="en-GB"/>
        </w:rPr>
        <w:tab/>
      </w:r>
      <w:r w:rsidR="0043648E" w:rsidRPr="00D51EF4">
        <w:rPr>
          <w:lang w:val="en-GB"/>
        </w:rPr>
        <w:t xml:space="preserve">[Insert Table </w:t>
      </w:r>
      <w:r w:rsidR="00980134" w:rsidRPr="00D51EF4">
        <w:rPr>
          <w:lang w:val="en-GB"/>
        </w:rPr>
        <w:t>6</w:t>
      </w:r>
      <w:r w:rsidR="00A36C13" w:rsidRPr="00D51EF4">
        <w:rPr>
          <w:lang w:val="en-GB"/>
        </w:rPr>
        <w:t xml:space="preserve"> </w:t>
      </w:r>
      <w:r w:rsidRPr="00D51EF4">
        <w:rPr>
          <w:lang w:val="en-GB"/>
        </w:rPr>
        <w:t>about here]</w:t>
      </w:r>
    </w:p>
    <w:p w14:paraId="76180E84" w14:textId="77777777" w:rsidR="00306BA3" w:rsidRPr="00D51EF4" w:rsidRDefault="00306BA3" w:rsidP="00D21935">
      <w:pPr>
        <w:autoSpaceDE w:val="0"/>
        <w:autoSpaceDN w:val="0"/>
        <w:adjustRightInd w:val="0"/>
        <w:spacing w:line="480" w:lineRule="auto"/>
        <w:jc w:val="both"/>
        <w:rPr>
          <w:lang w:val="en-GB"/>
        </w:rPr>
      </w:pPr>
    </w:p>
    <w:p w14:paraId="13F1C44F" w14:textId="789215D2" w:rsidR="003A5CBC" w:rsidRPr="00D51EF4" w:rsidRDefault="001A5D00" w:rsidP="00F65B35">
      <w:pPr>
        <w:spacing w:line="480" w:lineRule="auto"/>
        <w:jc w:val="both"/>
        <w:rPr>
          <w:lang w:val="en-GB"/>
        </w:rPr>
      </w:pPr>
      <w:r w:rsidRPr="00D51EF4">
        <w:rPr>
          <w:lang w:val="en-GB"/>
        </w:rPr>
        <w:t>In contrast to prior research (</w:t>
      </w:r>
      <w:hyperlink w:anchor="_ENREF_22" w:tooltip="Gutiérrez-Nieto, 2007 #749" w:history="1">
        <w:r w:rsidRPr="00D51EF4">
          <w:rPr>
            <w:lang w:val="en-GB"/>
          </w:rPr>
          <w:t>Gutiérrez-Nieto and Serrano-</w:t>
        </w:r>
        <w:proofErr w:type="spellStart"/>
        <w:r w:rsidRPr="00D51EF4">
          <w:rPr>
            <w:lang w:val="en-GB"/>
          </w:rPr>
          <w:t>Cinka</w:t>
        </w:r>
        <w:proofErr w:type="spellEnd"/>
        <w:r w:rsidRPr="00D51EF4">
          <w:rPr>
            <w:lang w:val="en-GB"/>
          </w:rPr>
          <w:t xml:space="preserve"> 2007</w:t>
        </w:r>
      </w:hyperlink>
      <w:r w:rsidRPr="00D51EF4">
        <w:rPr>
          <w:lang w:val="en-GB"/>
        </w:rPr>
        <w:t xml:space="preserve">; </w:t>
      </w:r>
      <w:hyperlink w:anchor="_ENREF_5" w:tooltip="Beisland, 2011 #841" w:history="1">
        <w:r w:rsidRPr="00D51EF4">
          <w:rPr>
            <w:lang w:val="en-GB"/>
          </w:rPr>
          <w:t>Beisland and Mersland 201</w:t>
        </w:r>
      </w:hyperlink>
      <w:r w:rsidRPr="00D51EF4">
        <w:rPr>
          <w:lang w:val="en-GB"/>
        </w:rPr>
        <w:t>2)</w:t>
      </w:r>
      <w:r w:rsidR="00CD21D4" w:rsidRPr="00D51EF4">
        <w:rPr>
          <w:lang w:val="en-GB"/>
        </w:rPr>
        <w:t>,</w:t>
      </w:r>
      <w:r w:rsidRPr="00D51EF4">
        <w:rPr>
          <w:lang w:val="en-GB"/>
        </w:rPr>
        <w:t xml:space="preserve"> we study if the </w:t>
      </w:r>
      <w:r w:rsidR="00392DE7" w:rsidRPr="00D51EF4">
        <w:rPr>
          <w:lang w:val="en-GB"/>
        </w:rPr>
        <w:t>for</w:t>
      </w:r>
      <w:r w:rsidR="00CD21D4" w:rsidRPr="00D51EF4">
        <w:rPr>
          <w:lang w:val="en-GB"/>
        </w:rPr>
        <w:t>-</w:t>
      </w:r>
      <w:r w:rsidR="00392DE7" w:rsidRPr="00D51EF4">
        <w:rPr>
          <w:lang w:val="en-GB"/>
        </w:rPr>
        <w:t>profit</w:t>
      </w:r>
      <w:r w:rsidRPr="00D51EF4">
        <w:rPr>
          <w:lang w:val="en-GB"/>
        </w:rPr>
        <w:t xml:space="preserve"> objective affects the determinants of the rating</w:t>
      </w:r>
      <w:r w:rsidR="00CD21D4" w:rsidRPr="00D51EF4">
        <w:rPr>
          <w:lang w:val="en-GB"/>
        </w:rPr>
        <w:t>s</w:t>
      </w:r>
      <w:r w:rsidRPr="00D51EF4">
        <w:rPr>
          <w:lang w:val="en-GB"/>
        </w:rPr>
        <w:t xml:space="preserve">. We focus the analysis on earnings and note that </w:t>
      </w:r>
      <w:r w:rsidR="008442AA" w:rsidRPr="00D51EF4">
        <w:rPr>
          <w:lang w:val="en-GB"/>
        </w:rPr>
        <w:t xml:space="preserve">scaled earnings are a highly significant explanatory </w:t>
      </w:r>
      <w:r w:rsidR="008572F4" w:rsidRPr="00D51EF4">
        <w:rPr>
          <w:lang w:val="en-GB"/>
        </w:rPr>
        <w:t>variable for the rating</w:t>
      </w:r>
      <w:r w:rsidR="00CD21D4" w:rsidRPr="00D51EF4">
        <w:rPr>
          <w:lang w:val="en-GB"/>
        </w:rPr>
        <w:t>s</w:t>
      </w:r>
      <w:r w:rsidR="008572F4" w:rsidRPr="00D51EF4">
        <w:rPr>
          <w:lang w:val="en-GB"/>
        </w:rPr>
        <w:t xml:space="preserve"> </w:t>
      </w:r>
      <w:r w:rsidR="00CD21D4" w:rsidRPr="00D51EF4">
        <w:rPr>
          <w:lang w:val="en-GB"/>
        </w:rPr>
        <w:t>for</w:t>
      </w:r>
      <w:r w:rsidRPr="00D51EF4">
        <w:rPr>
          <w:lang w:val="en-GB"/>
        </w:rPr>
        <w:t xml:space="preserve"> both sub-samples</w:t>
      </w:r>
      <w:r w:rsidR="008572F4" w:rsidRPr="00D51EF4">
        <w:rPr>
          <w:lang w:val="en-GB"/>
        </w:rPr>
        <w:t xml:space="preserve">. </w:t>
      </w:r>
      <w:r w:rsidR="00B34A9C" w:rsidRPr="00D51EF4">
        <w:rPr>
          <w:lang w:val="en-GB"/>
        </w:rPr>
        <w:t xml:space="preserve">However, the difference </w:t>
      </w:r>
      <w:r w:rsidR="00674AE1" w:rsidRPr="00D51EF4">
        <w:rPr>
          <w:lang w:val="en-GB"/>
        </w:rPr>
        <w:t xml:space="preserve">is </w:t>
      </w:r>
      <w:r w:rsidR="00B34A9C" w:rsidRPr="00D51EF4">
        <w:rPr>
          <w:lang w:val="en-GB"/>
        </w:rPr>
        <w:t>not statistically significant</w:t>
      </w:r>
      <w:r w:rsidR="009007C7" w:rsidRPr="00D51EF4">
        <w:rPr>
          <w:lang w:val="en-GB"/>
        </w:rPr>
        <w:t>.</w:t>
      </w:r>
      <w:r w:rsidR="00B34A9C" w:rsidRPr="00D51EF4">
        <w:rPr>
          <w:lang w:val="en-GB"/>
        </w:rPr>
        <w:t xml:space="preserve"> </w:t>
      </w:r>
      <w:r w:rsidR="00222221" w:rsidRPr="00D51EF4">
        <w:rPr>
          <w:lang w:val="en-GB"/>
        </w:rPr>
        <w:t>Collectively</w:t>
      </w:r>
      <w:r w:rsidR="00B34A9C" w:rsidRPr="00D51EF4">
        <w:rPr>
          <w:lang w:val="en-GB"/>
        </w:rPr>
        <w:t xml:space="preserve">, </w:t>
      </w:r>
      <w:r w:rsidR="00222221" w:rsidRPr="00D51EF4">
        <w:rPr>
          <w:lang w:val="en-GB"/>
        </w:rPr>
        <w:t xml:space="preserve">our results </w:t>
      </w:r>
      <w:r w:rsidR="00CD21D4" w:rsidRPr="00D51EF4">
        <w:rPr>
          <w:lang w:val="en-GB"/>
        </w:rPr>
        <w:t xml:space="preserve">demonstrate </w:t>
      </w:r>
      <w:r w:rsidR="00222221" w:rsidRPr="00D51EF4">
        <w:rPr>
          <w:lang w:val="en-GB"/>
        </w:rPr>
        <w:t xml:space="preserve">that </w:t>
      </w:r>
      <w:r w:rsidR="00B34A9C" w:rsidRPr="00D51EF4">
        <w:rPr>
          <w:lang w:val="en-GB"/>
        </w:rPr>
        <w:t xml:space="preserve">earnings numbers </w:t>
      </w:r>
      <w:r w:rsidR="00E638FD" w:rsidRPr="00D51EF4">
        <w:rPr>
          <w:lang w:val="en-GB"/>
        </w:rPr>
        <w:t>are</w:t>
      </w:r>
      <w:r w:rsidR="00B34A9C" w:rsidRPr="00D51EF4">
        <w:rPr>
          <w:lang w:val="en-GB"/>
        </w:rPr>
        <w:t xml:space="preserve"> relevant for </w:t>
      </w:r>
      <w:r w:rsidR="00E638FD" w:rsidRPr="00D51EF4">
        <w:rPr>
          <w:lang w:val="en-GB"/>
        </w:rPr>
        <w:t xml:space="preserve">the </w:t>
      </w:r>
      <w:r w:rsidR="00B34A9C" w:rsidRPr="00D51EF4">
        <w:rPr>
          <w:lang w:val="en-GB"/>
        </w:rPr>
        <w:t xml:space="preserve">MFI ratings of </w:t>
      </w:r>
      <w:r w:rsidR="00222221" w:rsidRPr="00D51EF4">
        <w:rPr>
          <w:lang w:val="en-GB"/>
        </w:rPr>
        <w:t xml:space="preserve">both </w:t>
      </w:r>
      <w:r w:rsidR="00B34A9C" w:rsidRPr="00D51EF4">
        <w:rPr>
          <w:lang w:val="en-GB"/>
        </w:rPr>
        <w:t xml:space="preserve">for-profit </w:t>
      </w:r>
      <w:r w:rsidR="00FA0D34">
        <w:rPr>
          <w:lang w:val="en-GB"/>
        </w:rPr>
        <w:t xml:space="preserve">and </w:t>
      </w:r>
      <w:proofErr w:type="spellStart"/>
      <w:r w:rsidR="00FA0D34">
        <w:rPr>
          <w:lang w:val="en-GB"/>
        </w:rPr>
        <w:t>non</w:t>
      </w:r>
      <w:r w:rsidR="00222221" w:rsidRPr="00D51EF4">
        <w:rPr>
          <w:lang w:val="en-GB"/>
        </w:rPr>
        <w:t>profit</w:t>
      </w:r>
      <w:proofErr w:type="spellEnd"/>
      <w:r w:rsidR="00222221" w:rsidRPr="00D51EF4">
        <w:rPr>
          <w:lang w:val="en-GB"/>
        </w:rPr>
        <w:t xml:space="preserve"> entities</w:t>
      </w:r>
      <w:r w:rsidR="00C31EC8" w:rsidRPr="00D51EF4">
        <w:rPr>
          <w:lang w:val="en-GB"/>
        </w:rPr>
        <w:t xml:space="preserve">, but we are unable to find significant differences in this earnings quality metric between the two sets of organisations. </w:t>
      </w:r>
    </w:p>
    <w:p w14:paraId="3D04C2F9" w14:textId="77777777" w:rsidR="008B66AA" w:rsidRPr="00D51EF4" w:rsidRDefault="008B66AA" w:rsidP="00F65B35">
      <w:pPr>
        <w:spacing w:line="480" w:lineRule="auto"/>
        <w:jc w:val="both"/>
        <w:rPr>
          <w:lang w:val="en-GB"/>
        </w:rPr>
      </w:pPr>
    </w:p>
    <w:p w14:paraId="7AB88DBD" w14:textId="77777777" w:rsidR="008B66AA" w:rsidRPr="00D51EF4" w:rsidRDefault="008B66AA" w:rsidP="00F65B35">
      <w:pPr>
        <w:spacing w:line="480" w:lineRule="auto"/>
        <w:jc w:val="both"/>
        <w:rPr>
          <w:i/>
          <w:lang w:val="en-GB"/>
        </w:rPr>
      </w:pPr>
      <w:r w:rsidRPr="00D51EF4">
        <w:rPr>
          <w:i/>
          <w:lang w:val="en-GB"/>
        </w:rPr>
        <w:t xml:space="preserve">4.6. </w:t>
      </w:r>
      <w:r w:rsidR="00D44CC7" w:rsidRPr="00D51EF4">
        <w:rPr>
          <w:i/>
          <w:lang w:val="en-GB"/>
        </w:rPr>
        <w:t xml:space="preserve">Robustness </w:t>
      </w:r>
      <w:r w:rsidR="0043648E" w:rsidRPr="00D51EF4">
        <w:rPr>
          <w:i/>
          <w:lang w:val="en-GB"/>
        </w:rPr>
        <w:t>T</w:t>
      </w:r>
      <w:r w:rsidRPr="00D51EF4">
        <w:rPr>
          <w:i/>
          <w:lang w:val="en-GB"/>
        </w:rPr>
        <w:t>ests</w:t>
      </w:r>
    </w:p>
    <w:p w14:paraId="15229036" w14:textId="2671DADC" w:rsidR="00382234" w:rsidRPr="00D51EF4" w:rsidRDefault="005B33D3" w:rsidP="00F65B35">
      <w:pPr>
        <w:spacing w:line="480" w:lineRule="auto"/>
        <w:jc w:val="both"/>
        <w:rPr>
          <w:lang w:val="en-GB"/>
        </w:rPr>
      </w:pPr>
      <w:r w:rsidRPr="00D51EF4">
        <w:rPr>
          <w:lang w:val="en-GB"/>
        </w:rPr>
        <w:t xml:space="preserve">The </w:t>
      </w:r>
      <w:r w:rsidR="00E638FD" w:rsidRPr="00D51EF4">
        <w:rPr>
          <w:lang w:val="en-GB"/>
        </w:rPr>
        <w:t xml:space="preserve">primary </w:t>
      </w:r>
      <w:r w:rsidRPr="00D51EF4">
        <w:rPr>
          <w:lang w:val="en-GB"/>
        </w:rPr>
        <w:t xml:space="preserve">analysis has only found </w:t>
      </w:r>
      <w:r w:rsidR="00382234" w:rsidRPr="00D51EF4">
        <w:rPr>
          <w:lang w:val="en-GB"/>
        </w:rPr>
        <w:t>on</w:t>
      </w:r>
      <w:r w:rsidR="00BE1341" w:rsidRPr="00D51EF4">
        <w:rPr>
          <w:lang w:val="en-GB"/>
        </w:rPr>
        <w:t>e</w:t>
      </w:r>
      <w:r w:rsidR="00382234" w:rsidRPr="00D51EF4">
        <w:rPr>
          <w:lang w:val="en-GB"/>
        </w:rPr>
        <w:t xml:space="preserve"> </w:t>
      </w:r>
      <w:r w:rsidRPr="00D51EF4">
        <w:rPr>
          <w:lang w:val="en-GB"/>
        </w:rPr>
        <w:t xml:space="preserve">statistically significant difference </w:t>
      </w:r>
      <w:r w:rsidR="00B869E4" w:rsidRPr="00D51EF4">
        <w:rPr>
          <w:lang w:val="en-GB"/>
        </w:rPr>
        <w:t xml:space="preserve">(for earnings predictability) </w:t>
      </w:r>
      <w:r w:rsidRPr="00D51EF4">
        <w:rPr>
          <w:lang w:val="en-GB"/>
        </w:rPr>
        <w:t>in earnings quality</w:t>
      </w:r>
      <w:r w:rsidR="00FA0D34">
        <w:rPr>
          <w:lang w:val="en-GB"/>
        </w:rPr>
        <w:t xml:space="preserve"> between the for-profit and </w:t>
      </w:r>
      <w:proofErr w:type="spellStart"/>
      <w:r w:rsidR="00FA0D34">
        <w:rPr>
          <w:lang w:val="en-GB"/>
        </w:rPr>
        <w:t>non</w:t>
      </w:r>
      <w:r w:rsidRPr="00D51EF4">
        <w:rPr>
          <w:lang w:val="en-GB"/>
        </w:rPr>
        <w:t>profit</w:t>
      </w:r>
      <w:proofErr w:type="spellEnd"/>
      <w:r w:rsidRPr="00D51EF4">
        <w:rPr>
          <w:lang w:val="en-GB"/>
        </w:rPr>
        <w:t xml:space="preserve"> sample</w:t>
      </w:r>
      <w:r w:rsidR="00E638FD" w:rsidRPr="00D51EF4">
        <w:rPr>
          <w:lang w:val="en-GB"/>
        </w:rPr>
        <w:t>s</w:t>
      </w:r>
      <w:r w:rsidRPr="00D51EF4">
        <w:rPr>
          <w:lang w:val="en-GB"/>
        </w:rPr>
        <w:t xml:space="preserve">. All other tests </w:t>
      </w:r>
      <w:r w:rsidR="00382234" w:rsidRPr="00D51EF4">
        <w:rPr>
          <w:lang w:val="en-GB"/>
        </w:rPr>
        <w:t>show insignificant results. Thus, we cannot conclude that there are major differences in earnings qua</w:t>
      </w:r>
      <w:r w:rsidR="00FA0D34">
        <w:rPr>
          <w:lang w:val="en-GB"/>
        </w:rPr>
        <w:t xml:space="preserve">lity between for-profit and </w:t>
      </w:r>
      <w:proofErr w:type="spellStart"/>
      <w:r w:rsidR="00FA0D34">
        <w:rPr>
          <w:lang w:val="en-GB"/>
        </w:rPr>
        <w:t>non</w:t>
      </w:r>
      <w:r w:rsidR="00382234" w:rsidRPr="00D51EF4">
        <w:rPr>
          <w:lang w:val="en-GB"/>
        </w:rPr>
        <w:t>profit</w:t>
      </w:r>
      <w:proofErr w:type="spellEnd"/>
      <w:r w:rsidR="00382234" w:rsidRPr="00D51EF4">
        <w:rPr>
          <w:lang w:val="en-GB"/>
        </w:rPr>
        <w:t xml:space="preserve"> </w:t>
      </w:r>
      <w:r w:rsidR="00BE1341" w:rsidRPr="00D51EF4">
        <w:rPr>
          <w:lang w:val="en-GB"/>
        </w:rPr>
        <w:t>organisations</w:t>
      </w:r>
      <w:r w:rsidR="00382234" w:rsidRPr="00D51EF4">
        <w:rPr>
          <w:lang w:val="en-GB"/>
        </w:rPr>
        <w:t>.</w:t>
      </w:r>
      <w:r w:rsidR="006E462B" w:rsidRPr="00D51EF4">
        <w:rPr>
          <w:rStyle w:val="Fotnotereferanse"/>
          <w:lang w:val="en-GB"/>
        </w:rPr>
        <w:footnoteReference w:id="1"/>
      </w:r>
      <w:r w:rsidRPr="00D51EF4">
        <w:rPr>
          <w:lang w:val="en-GB"/>
        </w:rPr>
        <w:t xml:space="preserve"> </w:t>
      </w:r>
      <w:r w:rsidR="00382234" w:rsidRPr="00D51EF4">
        <w:rPr>
          <w:lang w:val="en-GB"/>
        </w:rPr>
        <w:t xml:space="preserve">This subsection challenges this conclusion through several alternative tests. </w:t>
      </w:r>
    </w:p>
    <w:p w14:paraId="6A032787" w14:textId="77777777" w:rsidR="00382234" w:rsidRPr="00D51EF4" w:rsidRDefault="00382234" w:rsidP="00F65B35">
      <w:pPr>
        <w:spacing w:line="480" w:lineRule="auto"/>
        <w:jc w:val="both"/>
        <w:rPr>
          <w:lang w:val="en-GB"/>
        </w:rPr>
      </w:pPr>
    </w:p>
    <w:p w14:paraId="161063ED" w14:textId="77777777" w:rsidR="00382234" w:rsidRPr="00D51EF4" w:rsidRDefault="00382234" w:rsidP="00F65B35">
      <w:pPr>
        <w:spacing w:line="480" w:lineRule="auto"/>
        <w:jc w:val="both"/>
        <w:rPr>
          <w:lang w:val="en-GB"/>
        </w:rPr>
      </w:pPr>
      <w:r w:rsidRPr="00D51EF4">
        <w:rPr>
          <w:lang w:val="en-GB"/>
        </w:rPr>
        <w:t>4.6.1</w:t>
      </w:r>
      <w:r w:rsidR="00B306D9" w:rsidRPr="00D51EF4">
        <w:rPr>
          <w:lang w:val="en-GB"/>
        </w:rPr>
        <w:t>.</w:t>
      </w:r>
      <w:r w:rsidRPr="00D51EF4">
        <w:rPr>
          <w:lang w:val="en-GB"/>
        </w:rPr>
        <w:t xml:space="preserve"> Accrual Quality</w:t>
      </w:r>
    </w:p>
    <w:p w14:paraId="0DD63492" w14:textId="78E5F931" w:rsidR="008B66AA" w:rsidRPr="00D51EF4" w:rsidRDefault="008B66AA" w:rsidP="00F65B35">
      <w:pPr>
        <w:spacing w:line="480" w:lineRule="auto"/>
        <w:jc w:val="both"/>
        <w:rPr>
          <w:lang w:val="en-GB"/>
        </w:rPr>
      </w:pPr>
      <w:r w:rsidRPr="00D51EF4">
        <w:rPr>
          <w:lang w:val="en-GB"/>
        </w:rPr>
        <w:lastRenderedPageBreak/>
        <w:t xml:space="preserve">Accrual quality is an element of earnings quality (Francis et al. 2004). Our tests </w:t>
      </w:r>
      <w:r w:rsidR="009007C7" w:rsidRPr="00D51EF4">
        <w:rPr>
          <w:lang w:val="en-GB"/>
        </w:rPr>
        <w:t xml:space="preserve">thus </w:t>
      </w:r>
      <w:r w:rsidRPr="00D51EF4">
        <w:rPr>
          <w:lang w:val="en-GB"/>
        </w:rPr>
        <w:t>far provide only indirect tests of accrual quality</w:t>
      </w:r>
      <w:r w:rsidR="009007C7" w:rsidRPr="00D51EF4">
        <w:rPr>
          <w:lang w:val="en-GB"/>
        </w:rPr>
        <w:t xml:space="preserve">, which </w:t>
      </w:r>
      <w:proofErr w:type="gramStart"/>
      <w:r w:rsidRPr="00D51EF4">
        <w:rPr>
          <w:lang w:val="en-GB"/>
        </w:rPr>
        <w:t xml:space="preserve">is typically </w:t>
      </w:r>
      <w:r w:rsidR="00624F92" w:rsidRPr="00D51EF4">
        <w:rPr>
          <w:lang w:val="en-GB"/>
        </w:rPr>
        <w:t>quantified</w:t>
      </w:r>
      <w:proofErr w:type="gramEnd"/>
      <w:r w:rsidR="00624F92" w:rsidRPr="00D51EF4">
        <w:rPr>
          <w:lang w:val="en-GB"/>
        </w:rPr>
        <w:t xml:space="preserve"> </w:t>
      </w:r>
      <w:r w:rsidRPr="00D51EF4">
        <w:rPr>
          <w:lang w:val="en-GB"/>
        </w:rPr>
        <w:t xml:space="preserve">as the statistical association between accruals and cash flows (Dechow and Dichev 2002). Accruals are of good quality if they </w:t>
      </w:r>
      <w:r w:rsidR="00624F92" w:rsidRPr="00D51EF4">
        <w:rPr>
          <w:lang w:val="en-GB"/>
        </w:rPr>
        <w:t>lead to</w:t>
      </w:r>
      <w:r w:rsidRPr="00D51EF4">
        <w:rPr>
          <w:lang w:val="en-GB"/>
        </w:rPr>
        <w:t xml:space="preserve"> cash flow. For </w:t>
      </w:r>
      <w:r w:rsidR="00B306D9" w:rsidRPr="00D51EF4">
        <w:rPr>
          <w:lang w:val="en-GB"/>
        </w:rPr>
        <w:t>financial institutions,</w:t>
      </w:r>
      <w:r w:rsidRPr="00D51EF4">
        <w:rPr>
          <w:lang w:val="en-GB"/>
        </w:rPr>
        <w:t xml:space="preserve"> the most important accrual component is provisions for future losses. </w:t>
      </w:r>
      <w:r w:rsidR="009007C7" w:rsidRPr="00D51EF4">
        <w:rPr>
          <w:lang w:val="en-GB"/>
        </w:rPr>
        <w:t>L</w:t>
      </w:r>
      <w:r w:rsidRPr="00D51EF4">
        <w:rPr>
          <w:lang w:val="en-GB"/>
        </w:rPr>
        <w:t xml:space="preserve">oss provisions are of high quality if they </w:t>
      </w:r>
      <w:proofErr w:type="gramStart"/>
      <w:r w:rsidRPr="00D51EF4">
        <w:rPr>
          <w:lang w:val="en-GB"/>
        </w:rPr>
        <w:t>are related</w:t>
      </w:r>
      <w:proofErr w:type="gramEnd"/>
      <w:r w:rsidRPr="00D51EF4">
        <w:rPr>
          <w:lang w:val="en-GB"/>
        </w:rPr>
        <w:t xml:space="preserve"> to actual, future losses. Although data limitations reduce our </w:t>
      </w:r>
      <w:r w:rsidR="009007C7" w:rsidRPr="00D51EF4">
        <w:rPr>
          <w:lang w:val="en-GB"/>
        </w:rPr>
        <w:t xml:space="preserve">ability </w:t>
      </w:r>
      <w:r w:rsidRPr="00D51EF4">
        <w:rPr>
          <w:lang w:val="en-GB"/>
        </w:rPr>
        <w:t xml:space="preserve">to test accrual quality in our sample, we </w:t>
      </w:r>
      <w:r w:rsidR="00624F92" w:rsidRPr="00D51EF4">
        <w:rPr>
          <w:lang w:val="en-GB"/>
        </w:rPr>
        <w:t xml:space="preserve">perform </w:t>
      </w:r>
      <w:r w:rsidRPr="00D51EF4">
        <w:rPr>
          <w:lang w:val="en-GB"/>
        </w:rPr>
        <w:t>one empirical analysis</w:t>
      </w:r>
      <w:r w:rsidR="009007C7" w:rsidRPr="00D51EF4">
        <w:rPr>
          <w:lang w:val="en-GB"/>
        </w:rPr>
        <w:t>: w</w:t>
      </w:r>
      <w:r w:rsidRPr="00D51EF4">
        <w:rPr>
          <w:lang w:val="en-GB"/>
        </w:rPr>
        <w:t xml:space="preserve">e </w:t>
      </w:r>
      <w:proofErr w:type="gramStart"/>
      <w:r w:rsidRPr="00D51EF4">
        <w:rPr>
          <w:lang w:val="en-GB"/>
        </w:rPr>
        <w:t>regress</w:t>
      </w:r>
      <w:proofErr w:type="gramEnd"/>
      <w:r w:rsidRPr="00D51EF4">
        <w:rPr>
          <w:lang w:val="en-GB"/>
        </w:rPr>
        <w:t xml:space="preserve"> the write</w:t>
      </w:r>
      <w:r w:rsidR="00624F92" w:rsidRPr="00D51EF4">
        <w:rPr>
          <w:lang w:val="en-GB"/>
        </w:rPr>
        <w:t>-</w:t>
      </w:r>
      <w:r w:rsidRPr="00D51EF4">
        <w:rPr>
          <w:lang w:val="en-GB"/>
        </w:rPr>
        <w:t>off ratio on lagged observations of net loss provisions</w:t>
      </w:r>
      <w:r w:rsidR="003213D9" w:rsidRPr="00D51EF4">
        <w:rPr>
          <w:lang w:val="en-GB"/>
        </w:rPr>
        <w:t xml:space="preserve"> (scaled by </w:t>
      </w:r>
      <w:r w:rsidR="00624F92" w:rsidRPr="00D51EF4">
        <w:rPr>
          <w:lang w:val="en-GB"/>
        </w:rPr>
        <w:t xml:space="preserve">the </w:t>
      </w:r>
      <w:r w:rsidR="003213D9" w:rsidRPr="00D51EF4">
        <w:rPr>
          <w:lang w:val="en-GB"/>
        </w:rPr>
        <w:t xml:space="preserve">total </w:t>
      </w:r>
      <w:r w:rsidR="00393519" w:rsidRPr="00D51EF4">
        <w:rPr>
          <w:lang w:val="en-GB"/>
        </w:rPr>
        <w:t>loan portfolio</w:t>
      </w:r>
      <w:r w:rsidR="003213D9" w:rsidRPr="00D51EF4">
        <w:rPr>
          <w:lang w:val="en-GB"/>
        </w:rPr>
        <w:t>)</w:t>
      </w:r>
      <w:r w:rsidRPr="00D51EF4">
        <w:rPr>
          <w:lang w:val="en-GB"/>
        </w:rPr>
        <w:t xml:space="preserve">. </w:t>
      </w:r>
      <w:r w:rsidR="00513773" w:rsidRPr="00D51EF4">
        <w:rPr>
          <w:lang w:val="en-GB"/>
        </w:rPr>
        <w:t>From an earnings quality perspective, the write</w:t>
      </w:r>
      <w:r w:rsidR="00624F92" w:rsidRPr="00D51EF4">
        <w:rPr>
          <w:lang w:val="en-GB"/>
        </w:rPr>
        <w:t>-</w:t>
      </w:r>
      <w:r w:rsidR="00513773" w:rsidRPr="00D51EF4">
        <w:rPr>
          <w:lang w:val="en-GB"/>
        </w:rPr>
        <w:t xml:space="preserve">offs </w:t>
      </w:r>
      <w:proofErr w:type="gramStart"/>
      <w:r w:rsidR="00513773" w:rsidRPr="00D51EF4">
        <w:rPr>
          <w:lang w:val="en-GB"/>
        </w:rPr>
        <w:t>should be closely related</w:t>
      </w:r>
      <w:proofErr w:type="gramEnd"/>
      <w:r w:rsidR="00513773" w:rsidRPr="00D51EF4">
        <w:rPr>
          <w:lang w:val="en-GB"/>
        </w:rPr>
        <w:t xml:space="preserve"> to previous loss provisions. </w:t>
      </w:r>
      <w:r w:rsidR="003213D9" w:rsidRPr="00D51EF4">
        <w:rPr>
          <w:lang w:val="en-GB"/>
        </w:rPr>
        <w:t xml:space="preserve">This test </w:t>
      </w:r>
      <w:r w:rsidR="00624F92" w:rsidRPr="00D51EF4">
        <w:rPr>
          <w:lang w:val="en-GB"/>
        </w:rPr>
        <w:t xml:space="preserve">demonstrates </w:t>
      </w:r>
      <w:r w:rsidR="003213D9" w:rsidRPr="00D51EF4">
        <w:rPr>
          <w:lang w:val="en-GB"/>
        </w:rPr>
        <w:t xml:space="preserve">that the </w:t>
      </w:r>
      <w:r w:rsidR="008722E9" w:rsidRPr="00D51EF4">
        <w:rPr>
          <w:lang w:val="en-GB"/>
        </w:rPr>
        <w:t xml:space="preserve">regression </w:t>
      </w:r>
      <w:r w:rsidR="003213D9" w:rsidRPr="00D51EF4">
        <w:rPr>
          <w:lang w:val="en-GB"/>
        </w:rPr>
        <w:t xml:space="preserve">coefficient is larger </w:t>
      </w:r>
      <w:r w:rsidR="009007C7" w:rsidRPr="00D51EF4">
        <w:rPr>
          <w:lang w:val="en-GB"/>
        </w:rPr>
        <w:t xml:space="preserve">(0.18 vs. 0.10) </w:t>
      </w:r>
      <w:r w:rsidR="00624F92" w:rsidRPr="00D51EF4">
        <w:rPr>
          <w:lang w:val="en-GB"/>
        </w:rPr>
        <w:t xml:space="preserve">for </w:t>
      </w:r>
      <w:r w:rsidR="003213D9" w:rsidRPr="00D51EF4">
        <w:rPr>
          <w:lang w:val="en-GB"/>
        </w:rPr>
        <w:t xml:space="preserve">the for-profit </w:t>
      </w:r>
      <w:r w:rsidR="009007C7" w:rsidRPr="00D51EF4">
        <w:rPr>
          <w:lang w:val="en-GB"/>
        </w:rPr>
        <w:t xml:space="preserve">sample </w:t>
      </w:r>
      <w:r w:rsidR="003213D9" w:rsidRPr="00D51EF4">
        <w:rPr>
          <w:lang w:val="en-GB"/>
        </w:rPr>
        <w:t>tha</w:t>
      </w:r>
      <w:r w:rsidR="00393519" w:rsidRPr="00D51EF4">
        <w:rPr>
          <w:lang w:val="en-GB"/>
        </w:rPr>
        <w:t xml:space="preserve">n </w:t>
      </w:r>
      <w:r w:rsidR="00624F92" w:rsidRPr="00D51EF4">
        <w:rPr>
          <w:lang w:val="en-GB"/>
        </w:rPr>
        <w:t>for</w:t>
      </w:r>
      <w:r w:rsidR="00393519" w:rsidRPr="00D51EF4">
        <w:rPr>
          <w:lang w:val="en-GB"/>
        </w:rPr>
        <w:t xml:space="preserve"> the </w:t>
      </w:r>
      <w:proofErr w:type="spellStart"/>
      <w:r w:rsidR="00393519" w:rsidRPr="00D51EF4">
        <w:rPr>
          <w:lang w:val="en-GB"/>
        </w:rPr>
        <w:t>nonprofit</w:t>
      </w:r>
      <w:proofErr w:type="spellEnd"/>
      <w:r w:rsidR="00393519" w:rsidRPr="00D51EF4">
        <w:rPr>
          <w:lang w:val="en-GB"/>
        </w:rPr>
        <w:t xml:space="preserve"> sample</w:t>
      </w:r>
      <w:r w:rsidR="00D92726" w:rsidRPr="00D51EF4">
        <w:rPr>
          <w:lang w:val="en-GB"/>
        </w:rPr>
        <w:t>, but the difference is not statistically significant (p-value = 0.17)</w:t>
      </w:r>
      <w:r w:rsidR="009007C7" w:rsidRPr="00D51EF4">
        <w:rPr>
          <w:lang w:val="en-GB"/>
        </w:rPr>
        <w:t>.</w:t>
      </w:r>
      <w:r w:rsidR="00393519" w:rsidRPr="00D51EF4">
        <w:rPr>
          <w:lang w:val="en-GB"/>
        </w:rPr>
        <w:t xml:space="preserve"> </w:t>
      </w:r>
      <w:r w:rsidR="003213D9" w:rsidRPr="00D51EF4">
        <w:rPr>
          <w:lang w:val="en-GB"/>
        </w:rPr>
        <w:t xml:space="preserve">Thus, our </w:t>
      </w:r>
      <w:r w:rsidR="00D92726" w:rsidRPr="00D51EF4">
        <w:rPr>
          <w:lang w:val="en-GB"/>
        </w:rPr>
        <w:t xml:space="preserve">first </w:t>
      </w:r>
      <w:r w:rsidR="003213D9" w:rsidRPr="00D51EF4">
        <w:rPr>
          <w:lang w:val="en-GB"/>
        </w:rPr>
        <w:t>alternative test</w:t>
      </w:r>
      <w:r w:rsidR="00D92726" w:rsidRPr="00D51EF4">
        <w:rPr>
          <w:lang w:val="en-GB"/>
        </w:rPr>
        <w:t xml:space="preserve"> </w:t>
      </w:r>
      <w:r w:rsidR="00624F92" w:rsidRPr="00D51EF4">
        <w:rPr>
          <w:lang w:val="en-GB"/>
        </w:rPr>
        <w:t>suggests</w:t>
      </w:r>
      <w:r w:rsidR="00D92726" w:rsidRPr="00D51EF4">
        <w:rPr>
          <w:lang w:val="en-GB"/>
        </w:rPr>
        <w:t xml:space="preserve"> no difference in earnings quality.</w:t>
      </w:r>
    </w:p>
    <w:p w14:paraId="6DAB84BA" w14:textId="77777777" w:rsidR="003213D9" w:rsidRPr="00D51EF4" w:rsidRDefault="003213D9" w:rsidP="00F65B35">
      <w:pPr>
        <w:spacing w:line="480" w:lineRule="auto"/>
        <w:jc w:val="both"/>
        <w:rPr>
          <w:lang w:val="en-GB"/>
        </w:rPr>
      </w:pPr>
    </w:p>
    <w:p w14:paraId="680FBC8B" w14:textId="28D4544C" w:rsidR="00D92726" w:rsidRPr="00D51EF4" w:rsidRDefault="00D92726" w:rsidP="00F65B35">
      <w:pPr>
        <w:spacing w:line="480" w:lineRule="auto"/>
        <w:jc w:val="both"/>
        <w:rPr>
          <w:lang w:val="en-GB"/>
        </w:rPr>
      </w:pPr>
      <w:r w:rsidRPr="00D51EF4">
        <w:rPr>
          <w:lang w:val="en-GB"/>
        </w:rPr>
        <w:t xml:space="preserve">4.6.2. Loss Proportion and Size </w:t>
      </w:r>
    </w:p>
    <w:p w14:paraId="3EC10CC5" w14:textId="69941AED" w:rsidR="003213D9" w:rsidRPr="00D51EF4" w:rsidRDefault="00C12132" w:rsidP="00F65B35">
      <w:pPr>
        <w:spacing w:line="480" w:lineRule="auto"/>
        <w:jc w:val="both"/>
        <w:rPr>
          <w:lang w:val="en-GB"/>
        </w:rPr>
      </w:pPr>
      <w:r w:rsidRPr="00D51EF4">
        <w:rPr>
          <w:lang w:val="en-GB"/>
        </w:rPr>
        <w:t>Earnings quality may be a function of more variables than the ones summari</w:t>
      </w:r>
      <w:r w:rsidR="00D411BD" w:rsidRPr="00D51EF4">
        <w:rPr>
          <w:lang w:val="en-GB"/>
        </w:rPr>
        <w:t>s</w:t>
      </w:r>
      <w:r w:rsidRPr="00D51EF4">
        <w:rPr>
          <w:lang w:val="en-GB"/>
        </w:rPr>
        <w:t>ed by the degree of profit maxim</w:t>
      </w:r>
      <w:r w:rsidR="006375AD" w:rsidRPr="00D51EF4">
        <w:rPr>
          <w:lang w:val="en-GB"/>
        </w:rPr>
        <w:t>i</w:t>
      </w:r>
      <w:r w:rsidR="00D411BD" w:rsidRPr="00D51EF4">
        <w:rPr>
          <w:lang w:val="en-GB"/>
        </w:rPr>
        <w:t>s</w:t>
      </w:r>
      <w:r w:rsidR="006375AD" w:rsidRPr="00D51EF4">
        <w:rPr>
          <w:lang w:val="en-GB"/>
        </w:rPr>
        <w:t xml:space="preserve">ation. For instance, Francis et al. </w:t>
      </w:r>
      <w:r w:rsidRPr="00D51EF4">
        <w:rPr>
          <w:lang w:val="en-GB"/>
        </w:rPr>
        <w:t xml:space="preserve">(2008) </w:t>
      </w:r>
      <w:r w:rsidR="009007C7" w:rsidRPr="00D51EF4">
        <w:rPr>
          <w:lang w:val="en-GB"/>
        </w:rPr>
        <w:t xml:space="preserve">identify the </w:t>
      </w:r>
      <w:r w:rsidRPr="00D51EF4">
        <w:rPr>
          <w:lang w:val="en-GB"/>
        </w:rPr>
        <w:t>loss frequency of a company as a determinant of earnings quality. In our sample, there is no statistical</w:t>
      </w:r>
      <w:r w:rsidR="009007C7" w:rsidRPr="00D51EF4">
        <w:rPr>
          <w:lang w:val="en-GB"/>
        </w:rPr>
        <w:t>ly</w:t>
      </w:r>
      <w:r w:rsidRPr="00D51EF4">
        <w:rPr>
          <w:lang w:val="en-GB"/>
        </w:rPr>
        <w:t xml:space="preserve"> significant difference between the loss proportion of for-profit MFIs compared </w:t>
      </w:r>
      <w:r w:rsidR="00020012" w:rsidRPr="00D51EF4">
        <w:rPr>
          <w:lang w:val="en-GB"/>
        </w:rPr>
        <w:t>with</w:t>
      </w:r>
      <w:r w:rsidR="00FA0D34">
        <w:rPr>
          <w:lang w:val="en-GB"/>
        </w:rPr>
        <w:t xml:space="preserve"> that of </w:t>
      </w:r>
      <w:proofErr w:type="spellStart"/>
      <w:r w:rsidR="00FA0D34">
        <w:rPr>
          <w:lang w:val="en-GB"/>
        </w:rPr>
        <w:t>non</w:t>
      </w:r>
      <w:r w:rsidRPr="00D51EF4">
        <w:rPr>
          <w:lang w:val="en-GB"/>
        </w:rPr>
        <w:t>profit</w:t>
      </w:r>
      <w:proofErr w:type="spellEnd"/>
      <w:r w:rsidRPr="00D51EF4">
        <w:rPr>
          <w:lang w:val="en-GB"/>
        </w:rPr>
        <w:t xml:space="preserve"> MFIs (p-value = 0.35). </w:t>
      </w:r>
      <w:r w:rsidR="008A5466" w:rsidRPr="00D51EF4">
        <w:rPr>
          <w:lang w:val="en-GB"/>
        </w:rPr>
        <w:t xml:space="preserve">However, a frequently </w:t>
      </w:r>
      <w:r w:rsidR="009007C7" w:rsidRPr="00D51EF4">
        <w:rPr>
          <w:lang w:val="en-GB"/>
        </w:rPr>
        <w:t xml:space="preserve">used determinant of </w:t>
      </w:r>
      <w:r w:rsidR="008A5466" w:rsidRPr="00D51EF4">
        <w:rPr>
          <w:lang w:val="en-GB"/>
        </w:rPr>
        <w:t>earnings quality is company size (Dechow and Dichev 2002). Our sample of for-profit MFIs include</w:t>
      </w:r>
      <w:r w:rsidR="00094386" w:rsidRPr="00D51EF4">
        <w:rPr>
          <w:lang w:val="en-GB"/>
        </w:rPr>
        <w:t>s</w:t>
      </w:r>
      <w:r w:rsidR="008A5466" w:rsidRPr="00D51EF4">
        <w:rPr>
          <w:lang w:val="en-GB"/>
        </w:rPr>
        <w:t xml:space="preserve">, on average, larger entities than the sample of </w:t>
      </w:r>
      <w:proofErr w:type="spellStart"/>
      <w:r w:rsidR="008A5466" w:rsidRPr="00D51EF4">
        <w:rPr>
          <w:lang w:val="en-GB"/>
        </w:rPr>
        <w:t>nonprofit</w:t>
      </w:r>
      <w:proofErr w:type="spellEnd"/>
      <w:r w:rsidR="008A5466" w:rsidRPr="00D51EF4">
        <w:rPr>
          <w:lang w:val="en-GB"/>
        </w:rPr>
        <w:t xml:space="preserve"> MFIs (p-value = 0.00 when the difference in mean assets is tested). </w:t>
      </w:r>
      <w:r w:rsidR="00F91FAA" w:rsidRPr="00D51EF4">
        <w:rPr>
          <w:lang w:val="en-GB"/>
        </w:rPr>
        <w:t xml:space="preserve">As a test of the relation between MFI size and earnings quality, we </w:t>
      </w:r>
      <w:r w:rsidR="009007C7" w:rsidRPr="00D51EF4">
        <w:rPr>
          <w:lang w:val="en-GB"/>
        </w:rPr>
        <w:t xml:space="preserve">divide </w:t>
      </w:r>
      <w:r w:rsidR="00FA0D34">
        <w:rPr>
          <w:lang w:val="en-GB"/>
        </w:rPr>
        <w:t xml:space="preserve">the for-profit and the </w:t>
      </w:r>
      <w:proofErr w:type="spellStart"/>
      <w:r w:rsidR="00FA0D34">
        <w:rPr>
          <w:lang w:val="en-GB"/>
        </w:rPr>
        <w:t>non</w:t>
      </w:r>
      <w:r w:rsidR="00F91FAA" w:rsidRPr="00D51EF4">
        <w:rPr>
          <w:lang w:val="en-GB"/>
        </w:rPr>
        <w:t>profit</w:t>
      </w:r>
      <w:proofErr w:type="spellEnd"/>
      <w:r w:rsidR="00F91FAA" w:rsidRPr="00D51EF4">
        <w:rPr>
          <w:lang w:val="en-GB"/>
        </w:rPr>
        <w:t xml:space="preserve"> sample</w:t>
      </w:r>
      <w:r w:rsidR="00094386" w:rsidRPr="00D51EF4">
        <w:rPr>
          <w:lang w:val="en-GB"/>
        </w:rPr>
        <w:t>s</w:t>
      </w:r>
      <w:r w:rsidR="00F91FAA" w:rsidRPr="00D51EF4">
        <w:rPr>
          <w:lang w:val="en-GB"/>
        </w:rPr>
        <w:t xml:space="preserve"> into equally size</w:t>
      </w:r>
      <w:r w:rsidR="006375AD" w:rsidRPr="00D51EF4">
        <w:rPr>
          <w:lang w:val="en-GB"/>
        </w:rPr>
        <w:t>d</w:t>
      </w:r>
      <w:r w:rsidR="00F91FAA" w:rsidRPr="00D51EF4">
        <w:rPr>
          <w:lang w:val="en-GB"/>
        </w:rPr>
        <w:t xml:space="preserve"> sub-samples based on the MFI</w:t>
      </w:r>
      <w:r w:rsidR="009007C7" w:rsidRPr="00D51EF4">
        <w:rPr>
          <w:lang w:val="en-GB"/>
        </w:rPr>
        <w:t>s</w:t>
      </w:r>
      <w:r w:rsidR="008B7431" w:rsidRPr="00D51EF4">
        <w:rPr>
          <w:lang w:val="en-GB"/>
        </w:rPr>
        <w:t>’</w:t>
      </w:r>
      <w:r w:rsidR="00F91FAA" w:rsidRPr="00D51EF4">
        <w:rPr>
          <w:lang w:val="en-GB"/>
        </w:rPr>
        <w:t xml:space="preserve"> total assets. Then</w:t>
      </w:r>
      <w:r w:rsidR="009007C7" w:rsidRPr="00D51EF4">
        <w:rPr>
          <w:lang w:val="en-GB"/>
        </w:rPr>
        <w:t>,</w:t>
      </w:r>
      <w:r w:rsidR="00F91FAA" w:rsidRPr="00D51EF4">
        <w:rPr>
          <w:lang w:val="en-GB"/>
        </w:rPr>
        <w:t xml:space="preserve"> we re-run all </w:t>
      </w:r>
      <w:r w:rsidR="006375AD" w:rsidRPr="00D51EF4">
        <w:rPr>
          <w:lang w:val="en-GB"/>
        </w:rPr>
        <w:t xml:space="preserve">previously described </w:t>
      </w:r>
      <w:r w:rsidR="00F91FAA" w:rsidRPr="00D51EF4">
        <w:rPr>
          <w:lang w:val="en-GB"/>
        </w:rPr>
        <w:t xml:space="preserve">tests on these four </w:t>
      </w:r>
      <w:r w:rsidR="009007C7" w:rsidRPr="00D51EF4">
        <w:rPr>
          <w:lang w:val="en-GB"/>
        </w:rPr>
        <w:t xml:space="preserve">new </w:t>
      </w:r>
      <w:r w:rsidR="00F91FAA" w:rsidRPr="00D51EF4">
        <w:rPr>
          <w:lang w:val="en-GB"/>
        </w:rPr>
        <w:t xml:space="preserve">sub-samples. The disadvantage </w:t>
      </w:r>
      <w:r w:rsidR="009007C7" w:rsidRPr="00D51EF4">
        <w:rPr>
          <w:lang w:val="en-GB"/>
        </w:rPr>
        <w:t xml:space="preserve">of </w:t>
      </w:r>
      <w:r w:rsidR="00F91FAA" w:rsidRPr="00D51EF4">
        <w:rPr>
          <w:lang w:val="en-GB"/>
        </w:rPr>
        <w:t xml:space="preserve">this procedure is </w:t>
      </w:r>
      <w:r w:rsidR="00F91FAA" w:rsidRPr="00D51EF4">
        <w:rPr>
          <w:lang w:val="en-GB"/>
        </w:rPr>
        <w:lastRenderedPageBreak/>
        <w:t>that the number of observations is very low in some tests (for instance</w:t>
      </w:r>
      <w:r w:rsidR="009007C7" w:rsidRPr="00D51EF4">
        <w:rPr>
          <w:lang w:val="en-GB"/>
        </w:rPr>
        <w:t>,</w:t>
      </w:r>
      <w:r w:rsidR="00F91FAA" w:rsidRPr="00D51EF4">
        <w:rPr>
          <w:lang w:val="en-GB"/>
        </w:rPr>
        <w:t xml:space="preserve"> the test of rating relevance)</w:t>
      </w:r>
      <w:r w:rsidR="009007C7" w:rsidRPr="00D51EF4">
        <w:rPr>
          <w:lang w:val="en-GB"/>
        </w:rPr>
        <w:t xml:space="preserve">; </w:t>
      </w:r>
      <w:r w:rsidR="00F91FAA" w:rsidRPr="00D51EF4">
        <w:rPr>
          <w:lang w:val="en-GB"/>
        </w:rPr>
        <w:t xml:space="preserve">thus, we use it </w:t>
      </w:r>
      <w:r w:rsidR="009007C7" w:rsidRPr="00D51EF4">
        <w:rPr>
          <w:lang w:val="en-GB"/>
        </w:rPr>
        <w:t xml:space="preserve">only </w:t>
      </w:r>
      <w:r w:rsidR="00F91FAA" w:rsidRPr="00D51EF4">
        <w:rPr>
          <w:lang w:val="en-GB"/>
        </w:rPr>
        <w:t>as a robustness test.</w:t>
      </w:r>
    </w:p>
    <w:p w14:paraId="0F13A71A" w14:textId="77777777" w:rsidR="00F91FAA" w:rsidRPr="00D51EF4" w:rsidRDefault="00F91FAA" w:rsidP="00F65B35">
      <w:pPr>
        <w:spacing w:line="480" w:lineRule="auto"/>
        <w:jc w:val="both"/>
        <w:rPr>
          <w:lang w:val="en-GB"/>
        </w:rPr>
      </w:pPr>
    </w:p>
    <w:p w14:paraId="7FFE597F" w14:textId="6A69CEBF" w:rsidR="00F91FAA" w:rsidRPr="00D51EF4" w:rsidRDefault="00F91FAA" w:rsidP="00F65B35">
      <w:pPr>
        <w:spacing w:line="480" w:lineRule="auto"/>
        <w:jc w:val="both"/>
        <w:rPr>
          <w:lang w:val="en-GB"/>
        </w:rPr>
      </w:pPr>
      <w:r w:rsidRPr="00D51EF4">
        <w:rPr>
          <w:lang w:val="en-GB"/>
        </w:rPr>
        <w:t xml:space="preserve">We find </w:t>
      </w:r>
      <w:r w:rsidR="00895455" w:rsidRPr="00D51EF4">
        <w:rPr>
          <w:lang w:val="en-GB"/>
        </w:rPr>
        <w:t xml:space="preserve">only </w:t>
      </w:r>
      <w:r w:rsidR="00497FF9" w:rsidRPr="00D51EF4">
        <w:rPr>
          <w:lang w:val="en-GB"/>
        </w:rPr>
        <w:t>minor</w:t>
      </w:r>
      <w:r w:rsidR="00895455" w:rsidRPr="00D51EF4">
        <w:rPr>
          <w:lang w:val="en-GB"/>
        </w:rPr>
        <w:t xml:space="preserve"> differences in </w:t>
      </w:r>
      <w:r w:rsidRPr="00D51EF4">
        <w:rPr>
          <w:lang w:val="en-GB"/>
        </w:rPr>
        <w:t xml:space="preserve">earnings smoothness </w:t>
      </w:r>
      <w:r w:rsidR="00895455" w:rsidRPr="00D51EF4">
        <w:rPr>
          <w:lang w:val="en-GB"/>
        </w:rPr>
        <w:t>between</w:t>
      </w:r>
      <w:r w:rsidRPr="00D51EF4">
        <w:rPr>
          <w:lang w:val="en-GB"/>
        </w:rPr>
        <w:t xml:space="preserve"> for-profit </w:t>
      </w:r>
      <w:r w:rsidR="009007C7" w:rsidRPr="00D51EF4">
        <w:rPr>
          <w:lang w:val="en-GB"/>
        </w:rPr>
        <w:t xml:space="preserve">MFIs </w:t>
      </w:r>
      <w:r w:rsidR="00895455" w:rsidRPr="00D51EF4">
        <w:rPr>
          <w:lang w:val="en-GB"/>
        </w:rPr>
        <w:t>and</w:t>
      </w:r>
      <w:r w:rsidRPr="00D51EF4">
        <w:rPr>
          <w:lang w:val="en-GB"/>
        </w:rPr>
        <w:t xml:space="preserve"> </w:t>
      </w:r>
      <w:proofErr w:type="spellStart"/>
      <w:r w:rsidRPr="00D51EF4">
        <w:rPr>
          <w:lang w:val="en-GB"/>
        </w:rPr>
        <w:t>nonprofit</w:t>
      </w:r>
      <w:proofErr w:type="spellEnd"/>
      <w:r w:rsidRPr="00D51EF4">
        <w:rPr>
          <w:lang w:val="en-GB"/>
        </w:rPr>
        <w:t xml:space="preserve"> MFIs</w:t>
      </w:r>
      <w:r w:rsidR="009007C7" w:rsidRPr="00D51EF4">
        <w:rPr>
          <w:lang w:val="en-GB"/>
        </w:rPr>
        <w:t xml:space="preserve"> </w:t>
      </w:r>
      <w:r w:rsidR="00895455" w:rsidRPr="00D51EF4">
        <w:rPr>
          <w:lang w:val="en-GB"/>
        </w:rPr>
        <w:t>for both small and large organisations</w:t>
      </w:r>
      <w:r w:rsidRPr="00D51EF4">
        <w:rPr>
          <w:lang w:val="en-GB"/>
        </w:rPr>
        <w:t xml:space="preserve">. </w:t>
      </w:r>
      <w:r w:rsidR="00895455" w:rsidRPr="00D51EF4">
        <w:rPr>
          <w:lang w:val="en-GB"/>
        </w:rPr>
        <w:t>Moreover, t</w:t>
      </w:r>
      <w:r w:rsidRPr="00D51EF4">
        <w:rPr>
          <w:lang w:val="en-GB"/>
        </w:rPr>
        <w:t xml:space="preserve">he tests suggest negligible differences in persistence and predictability when the MFIs are large, but for small MFIs, </w:t>
      </w:r>
      <w:r w:rsidR="003B214C" w:rsidRPr="00D51EF4">
        <w:rPr>
          <w:lang w:val="en-GB"/>
        </w:rPr>
        <w:t>the</w:t>
      </w:r>
      <w:r w:rsidRPr="00D51EF4">
        <w:rPr>
          <w:lang w:val="en-GB"/>
        </w:rPr>
        <w:t xml:space="preserve"> predictability </w:t>
      </w:r>
      <w:r w:rsidR="003B214C" w:rsidRPr="00D51EF4">
        <w:rPr>
          <w:lang w:val="en-GB"/>
        </w:rPr>
        <w:t xml:space="preserve">is </w:t>
      </w:r>
      <w:r w:rsidRPr="00D51EF4">
        <w:rPr>
          <w:lang w:val="en-GB"/>
        </w:rPr>
        <w:t xml:space="preserve">superior </w:t>
      </w:r>
      <w:r w:rsidR="00094386" w:rsidRPr="00D51EF4">
        <w:rPr>
          <w:lang w:val="en-GB"/>
        </w:rPr>
        <w:t>for</w:t>
      </w:r>
      <w:r w:rsidRPr="00D51EF4">
        <w:rPr>
          <w:lang w:val="en-GB"/>
        </w:rPr>
        <w:t xml:space="preserve"> for-profit MFIs. </w:t>
      </w:r>
      <w:r w:rsidR="003B214C" w:rsidRPr="00D51EF4">
        <w:rPr>
          <w:lang w:val="en-GB"/>
        </w:rPr>
        <w:t>This</w:t>
      </w:r>
      <w:r w:rsidR="00094386" w:rsidRPr="00D51EF4">
        <w:rPr>
          <w:lang w:val="en-GB"/>
        </w:rPr>
        <w:t xml:space="preserve"> effect of</w:t>
      </w:r>
      <w:r w:rsidR="003B214C" w:rsidRPr="00D51EF4">
        <w:rPr>
          <w:lang w:val="en-GB"/>
        </w:rPr>
        <w:t xml:space="preserve"> size</w:t>
      </w:r>
      <w:r w:rsidR="00094386" w:rsidRPr="00D51EF4">
        <w:rPr>
          <w:lang w:val="en-GB"/>
        </w:rPr>
        <w:t xml:space="preserve"> on</w:t>
      </w:r>
      <w:r w:rsidR="003B214C" w:rsidRPr="00D51EF4">
        <w:rPr>
          <w:lang w:val="en-GB"/>
        </w:rPr>
        <w:t xml:space="preserve"> predictability</w:t>
      </w:r>
      <w:r w:rsidR="00895455" w:rsidRPr="00D51EF4">
        <w:rPr>
          <w:lang w:val="en-GB"/>
        </w:rPr>
        <w:t xml:space="preserve"> </w:t>
      </w:r>
      <w:r w:rsidR="003B214C" w:rsidRPr="00D51EF4">
        <w:rPr>
          <w:lang w:val="en-GB"/>
        </w:rPr>
        <w:t>is</w:t>
      </w:r>
      <w:r w:rsidR="00895455" w:rsidRPr="00D51EF4">
        <w:rPr>
          <w:lang w:val="en-GB"/>
        </w:rPr>
        <w:t xml:space="preserve"> primarily </w:t>
      </w:r>
      <w:r w:rsidR="00094386" w:rsidRPr="00D51EF4">
        <w:rPr>
          <w:lang w:val="en-GB"/>
        </w:rPr>
        <w:t xml:space="preserve">caused </w:t>
      </w:r>
      <w:r w:rsidR="00895455" w:rsidRPr="00D51EF4">
        <w:rPr>
          <w:lang w:val="en-GB"/>
        </w:rPr>
        <w:t xml:space="preserve">by differences </w:t>
      </w:r>
      <w:r w:rsidR="00676BFC" w:rsidRPr="00D51EF4">
        <w:rPr>
          <w:lang w:val="en-GB"/>
        </w:rPr>
        <w:t>with</w:t>
      </w:r>
      <w:r w:rsidR="00895455" w:rsidRPr="00D51EF4">
        <w:rPr>
          <w:lang w:val="en-GB"/>
        </w:rPr>
        <w:t xml:space="preserve">in the </w:t>
      </w:r>
      <w:proofErr w:type="spellStart"/>
      <w:r w:rsidR="00895455" w:rsidRPr="00D51EF4">
        <w:rPr>
          <w:lang w:val="en-GB"/>
        </w:rPr>
        <w:t>nonprofit</w:t>
      </w:r>
      <w:proofErr w:type="spellEnd"/>
      <w:r w:rsidR="00895455" w:rsidRPr="00D51EF4">
        <w:rPr>
          <w:lang w:val="en-GB"/>
        </w:rPr>
        <w:t xml:space="preserve"> sample</w:t>
      </w:r>
      <w:r w:rsidR="003B214C" w:rsidRPr="00D51EF4">
        <w:rPr>
          <w:lang w:val="en-GB"/>
        </w:rPr>
        <w:t xml:space="preserve"> (</w:t>
      </w:r>
      <w:r w:rsidR="00094386" w:rsidRPr="00D51EF4">
        <w:rPr>
          <w:lang w:val="en-GB"/>
        </w:rPr>
        <w:t xml:space="preserve">the </w:t>
      </w:r>
      <w:r w:rsidR="00497FF9" w:rsidRPr="00D51EF4">
        <w:rPr>
          <w:lang w:val="en-GB"/>
        </w:rPr>
        <w:t xml:space="preserve">explanatory power </w:t>
      </w:r>
      <w:r w:rsidR="00094386" w:rsidRPr="00D51EF4">
        <w:rPr>
          <w:lang w:val="en-GB"/>
        </w:rPr>
        <w:t>is</w:t>
      </w:r>
      <w:r w:rsidR="00497FF9" w:rsidRPr="00D51EF4">
        <w:rPr>
          <w:lang w:val="en-GB"/>
        </w:rPr>
        <w:t xml:space="preserve"> </w:t>
      </w:r>
      <w:r w:rsidR="003B214C" w:rsidRPr="00D51EF4">
        <w:rPr>
          <w:lang w:val="en-GB"/>
        </w:rPr>
        <w:t xml:space="preserve">61% for the large </w:t>
      </w:r>
      <w:proofErr w:type="spellStart"/>
      <w:r w:rsidR="003B214C" w:rsidRPr="00D51EF4">
        <w:rPr>
          <w:lang w:val="en-GB"/>
        </w:rPr>
        <w:t>nonprofit</w:t>
      </w:r>
      <w:proofErr w:type="spellEnd"/>
      <w:r w:rsidR="003B214C" w:rsidRPr="00D51EF4">
        <w:rPr>
          <w:lang w:val="en-GB"/>
        </w:rPr>
        <w:t xml:space="preserve"> MFIs versus 27% for the small</w:t>
      </w:r>
      <w:r w:rsidR="00094386" w:rsidRPr="00D51EF4">
        <w:rPr>
          <w:lang w:val="en-GB"/>
        </w:rPr>
        <w:t xml:space="preserve"> </w:t>
      </w:r>
      <w:proofErr w:type="spellStart"/>
      <w:r w:rsidR="00094386" w:rsidRPr="00D51EF4">
        <w:rPr>
          <w:lang w:val="en-GB"/>
        </w:rPr>
        <w:t>nonprofit</w:t>
      </w:r>
      <w:proofErr w:type="spellEnd"/>
      <w:r w:rsidR="00094386" w:rsidRPr="00D51EF4">
        <w:rPr>
          <w:lang w:val="en-GB"/>
        </w:rPr>
        <w:t xml:space="preserve"> MFIs</w:t>
      </w:r>
      <w:r w:rsidR="00796D0D" w:rsidRPr="00D51EF4">
        <w:rPr>
          <w:lang w:val="en-GB"/>
        </w:rPr>
        <w:t>; these values are</w:t>
      </w:r>
      <w:r w:rsidR="003B214C" w:rsidRPr="00D51EF4">
        <w:rPr>
          <w:lang w:val="en-GB"/>
        </w:rPr>
        <w:t xml:space="preserve"> not tabulated)</w:t>
      </w:r>
      <w:proofErr w:type="gramStart"/>
      <w:r w:rsidR="00895455" w:rsidRPr="00D51EF4">
        <w:rPr>
          <w:lang w:val="en-GB"/>
        </w:rPr>
        <w:t>;</w:t>
      </w:r>
      <w:proofErr w:type="gramEnd"/>
      <w:r w:rsidR="00674AE1" w:rsidRPr="00D51EF4">
        <w:rPr>
          <w:lang w:val="en-GB"/>
        </w:rPr>
        <w:t xml:space="preserve"> in the for-</w:t>
      </w:r>
      <w:r w:rsidR="00B11D28" w:rsidRPr="00D51EF4">
        <w:rPr>
          <w:lang w:val="en-GB"/>
        </w:rPr>
        <w:t>profit sample, this</w:t>
      </w:r>
      <w:r w:rsidR="00895455" w:rsidRPr="00D51EF4">
        <w:rPr>
          <w:lang w:val="en-GB"/>
        </w:rPr>
        <w:t xml:space="preserve"> earnings quality metric </w:t>
      </w:r>
      <w:r w:rsidR="00B11D28" w:rsidRPr="00D51EF4">
        <w:rPr>
          <w:lang w:val="en-GB"/>
        </w:rPr>
        <w:t>is</w:t>
      </w:r>
      <w:r w:rsidR="00895455" w:rsidRPr="00D51EF4">
        <w:rPr>
          <w:lang w:val="en-GB"/>
        </w:rPr>
        <w:t xml:space="preserve"> </w:t>
      </w:r>
      <w:r w:rsidR="00B11D28" w:rsidRPr="00D51EF4">
        <w:rPr>
          <w:lang w:val="en-GB"/>
        </w:rPr>
        <w:t>barely</w:t>
      </w:r>
      <w:r w:rsidR="00895455" w:rsidRPr="00D51EF4">
        <w:rPr>
          <w:lang w:val="en-GB"/>
        </w:rPr>
        <w:t xml:space="preserve"> affected by the size</w:t>
      </w:r>
      <w:r w:rsidR="00796D0D" w:rsidRPr="00D51EF4">
        <w:rPr>
          <w:lang w:val="en-GB"/>
        </w:rPr>
        <w:t xml:space="preserve"> </w:t>
      </w:r>
      <w:r w:rsidR="00895455" w:rsidRPr="00D51EF4">
        <w:rPr>
          <w:lang w:val="en-GB"/>
        </w:rPr>
        <w:t xml:space="preserve">split. We find no statistically significant difference in earnings management </w:t>
      </w:r>
      <w:r w:rsidR="003A1F42" w:rsidRPr="00D51EF4">
        <w:rPr>
          <w:lang w:val="en-GB"/>
        </w:rPr>
        <w:t>for</w:t>
      </w:r>
      <w:r w:rsidR="00895455" w:rsidRPr="00D51EF4">
        <w:rPr>
          <w:lang w:val="en-GB"/>
        </w:rPr>
        <w:t xml:space="preserve"> the size-adjusted samples. We find some indications of higher rating relevance for large for-profit MFIs than </w:t>
      </w:r>
      <w:r w:rsidR="003A1F42" w:rsidRPr="00D51EF4">
        <w:rPr>
          <w:lang w:val="en-GB"/>
        </w:rPr>
        <w:t xml:space="preserve">for </w:t>
      </w:r>
      <w:r w:rsidR="00895455" w:rsidRPr="00D51EF4">
        <w:rPr>
          <w:lang w:val="en-GB"/>
        </w:rPr>
        <w:t xml:space="preserve">large </w:t>
      </w:r>
      <w:proofErr w:type="spellStart"/>
      <w:r w:rsidR="00895455" w:rsidRPr="00D51EF4">
        <w:rPr>
          <w:lang w:val="en-GB"/>
        </w:rPr>
        <w:t>nonprofit</w:t>
      </w:r>
      <w:proofErr w:type="spellEnd"/>
      <w:r w:rsidR="00895455" w:rsidRPr="00D51EF4">
        <w:rPr>
          <w:lang w:val="en-GB"/>
        </w:rPr>
        <w:t xml:space="preserve"> MFIs, but the number of observations in the alternative tests </w:t>
      </w:r>
      <w:r w:rsidR="0072760D" w:rsidRPr="00D51EF4">
        <w:rPr>
          <w:lang w:val="en-GB"/>
        </w:rPr>
        <w:t>is</w:t>
      </w:r>
      <w:r w:rsidR="00895455" w:rsidRPr="00D51EF4">
        <w:rPr>
          <w:lang w:val="en-GB"/>
        </w:rPr>
        <w:t xml:space="preserve"> small</w:t>
      </w:r>
      <w:r w:rsidR="00FA7573" w:rsidRPr="00D51EF4">
        <w:rPr>
          <w:lang w:val="en-GB"/>
        </w:rPr>
        <w:t>,</w:t>
      </w:r>
      <w:r w:rsidR="00895455" w:rsidRPr="00D51EF4">
        <w:rPr>
          <w:lang w:val="en-GB"/>
        </w:rPr>
        <w:t xml:space="preserve"> and the results are not significant.</w:t>
      </w:r>
    </w:p>
    <w:p w14:paraId="5BBC6129" w14:textId="77777777" w:rsidR="000A6F37" w:rsidRPr="00D51EF4" w:rsidRDefault="000A6F37" w:rsidP="00F65B35">
      <w:pPr>
        <w:spacing w:line="480" w:lineRule="auto"/>
        <w:jc w:val="both"/>
        <w:rPr>
          <w:lang w:val="en-GB"/>
        </w:rPr>
      </w:pPr>
    </w:p>
    <w:p w14:paraId="64E83DD4" w14:textId="77777777" w:rsidR="007E4FAB" w:rsidRPr="00D51EF4" w:rsidRDefault="007E4FAB" w:rsidP="00F65B35">
      <w:pPr>
        <w:spacing w:line="480" w:lineRule="auto"/>
        <w:jc w:val="both"/>
        <w:rPr>
          <w:lang w:val="en-GB"/>
        </w:rPr>
      </w:pPr>
      <w:r w:rsidRPr="00D51EF4">
        <w:rPr>
          <w:lang w:val="en-GB"/>
        </w:rPr>
        <w:t>4.6.3. Country-Specific Differences</w:t>
      </w:r>
    </w:p>
    <w:p w14:paraId="3C98E959" w14:textId="782D6A46" w:rsidR="00B34A9C" w:rsidRPr="00D51EF4" w:rsidRDefault="000A6F37" w:rsidP="00F65B35">
      <w:pPr>
        <w:spacing w:line="480" w:lineRule="auto"/>
        <w:jc w:val="both"/>
        <w:rPr>
          <w:lang w:val="en-GB"/>
        </w:rPr>
      </w:pPr>
      <w:r w:rsidRPr="00D51EF4">
        <w:rPr>
          <w:lang w:val="en-GB"/>
        </w:rPr>
        <w:t xml:space="preserve">A major strength of our sample is its broad geographical coverage. </w:t>
      </w:r>
      <w:r w:rsidR="00FE3C92" w:rsidRPr="00D51EF4">
        <w:rPr>
          <w:lang w:val="en-GB"/>
        </w:rPr>
        <w:t>However, earnings quality var</w:t>
      </w:r>
      <w:r w:rsidR="003A1F42" w:rsidRPr="00D51EF4">
        <w:rPr>
          <w:lang w:val="en-GB"/>
        </w:rPr>
        <w:t>ies</w:t>
      </w:r>
      <w:r w:rsidR="00FE3C92" w:rsidRPr="00D51EF4">
        <w:rPr>
          <w:lang w:val="en-GB"/>
        </w:rPr>
        <w:t xml:space="preserve"> </w:t>
      </w:r>
      <w:r w:rsidR="003A1F42" w:rsidRPr="00D51EF4">
        <w:rPr>
          <w:lang w:val="en-GB"/>
        </w:rPr>
        <w:t>with</w:t>
      </w:r>
      <w:r w:rsidR="00FE3C92" w:rsidRPr="00D51EF4">
        <w:rPr>
          <w:lang w:val="en-GB"/>
        </w:rPr>
        <w:t xml:space="preserve"> regulatory scrutiny and financial reporting standards (Francis et al. 2008). These determinants vary by jurisdiction</w:t>
      </w:r>
      <w:r w:rsidR="009007C7" w:rsidRPr="00D51EF4">
        <w:rPr>
          <w:lang w:val="en-GB"/>
        </w:rPr>
        <w:t xml:space="preserve">, </w:t>
      </w:r>
      <w:r w:rsidR="00FE3C92" w:rsidRPr="00D51EF4">
        <w:rPr>
          <w:lang w:val="en-GB"/>
        </w:rPr>
        <w:t xml:space="preserve">not by institution. </w:t>
      </w:r>
      <w:r w:rsidR="009007C7" w:rsidRPr="00D51EF4">
        <w:rPr>
          <w:lang w:val="en-GB"/>
        </w:rPr>
        <w:t xml:space="preserve">Because </w:t>
      </w:r>
      <w:r w:rsidRPr="00D51EF4">
        <w:rPr>
          <w:lang w:val="en-GB"/>
        </w:rPr>
        <w:t xml:space="preserve">our sample </w:t>
      </w:r>
      <w:proofErr w:type="gramStart"/>
      <w:r w:rsidRPr="00D51EF4">
        <w:rPr>
          <w:lang w:val="en-GB"/>
        </w:rPr>
        <w:t>is not balanced</w:t>
      </w:r>
      <w:proofErr w:type="gramEnd"/>
      <w:r w:rsidRPr="00D51EF4">
        <w:rPr>
          <w:lang w:val="en-GB"/>
        </w:rPr>
        <w:t xml:space="preserve"> for every country included in the study, we acknowledge that some differences </w:t>
      </w:r>
      <w:r w:rsidR="009007C7" w:rsidRPr="00D51EF4">
        <w:rPr>
          <w:lang w:val="en-GB"/>
        </w:rPr>
        <w:t xml:space="preserve">in </w:t>
      </w:r>
      <w:r w:rsidRPr="00D51EF4">
        <w:rPr>
          <w:lang w:val="en-GB"/>
        </w:rPr>
        <w:t>regulatory scrutiny and financial reporting standards may exist between our sub-samples</w:t>
      </w:r>
      <w:r w:rsidR="00FE3C92" w:rsidRPr="00D51EF4">
        <w:rPr>
          <w:lang w:val="en-GB"/>
        </w:rPr>
        <w:t>.</w:t>
      </w:r>
      <w:r w:rsidRPr="00D51EF4">
        <w:rPr>
          <w:lang w:val="en-GB"/>
        </w:rPr>
        <w:t xml:space="preserve"> </w:t>
      </w:r>
      <w:r w:rsidR="00E13BEB" w:rsidRPr="00D51EF4">
        <w:rPr>
          <w:lang w:val="en-GB"/>
        </w:rPr>
        <w:t xml:space="preserve">We cannot rule out </w:t>
      </w:r>
      <w:r w:rsidR="009007C7" w:rsidRPr="00D51EF4">
        <w:rPr>
          <w:lang w:val="en-GB"/>
        </w:rPr>
        <w:t xml:space="preserve">the possibility </w:t>
      </w:r>
      <w:r w:rsidR="00E13BEB" w:rsidRPr="00D51EF4">
        <w:rPr>
          <w:lang w:val="en-GB"/>
        </w:rPr>
        <w:t xml:space="preserve">that such average differences, if </w:t>
      </w:r>
      <w:r w:rsidR="003A1F42" w:rsidRPr="00D51EF4">
        <w:rPr>
          <w:lang w:val="en-GB"/>
        </w:rPr>
        <w:t>they exist</w:t>
      </w:r>
      <w:r w:rsidR="00E13BEB" w:rsidRPr="00D51EF4">
        <w:rPr>
          <w:lang w:val="en-GB"/>
        </w:rPr>
        <w:t>, may affect some findings</w:t>
      </w:r>
      <w:r w:rsidR="009007C7" w:rsidRPr="00D51EF4">
        <w:rPr>
          <w:lang w:val="en-GB"/>
        </w:rPr>
        <w:t>. U</w:t>
      </w:r>
      <w:r w:rsidR="00E13BEB" w:rsidRPr="00D51EF4">
        <w:rPr>
          <w:lang w:val="en-GB"/>
        </w:rPr>
        <w:t xml:space="preserve">nfortunately, </w:t>
      </w:r>
      <w:r w:rsidRPr="00D51EF4">
        <w:rPr>
          <w:lang w:val="en-GB"/>
        </w:rPr>
        <w:t xml:space="preserve">the number of observations for each country is too low </w:t>
      </w:r>
      <w:r w:rsidR="003A1F42" w:rsidRPr="00D51EF4">
        <w:rPr>
          <w:lang w:val="en-GB"/>
        </w:rPr>
        <w:t xml:space="preserve">for us </w:t>
      </w:r>
      <w:r w:rsidR="009007C7" w:rsidRPr="00D51EF4">
        <w:rPr>
          <w:lang w:val="en-GB"/>
        </w:rPr>
        <w:t xml:space="preserve">to </w:t>
      </w:r>
      <w:r w:rsidR="00E13BEB" w:rsidRPr="00D51EF4">
        <w:rPr>
          <w:lang w:val="en-GB"/>
        </w:rPr>
        <w:t xml:space="preserve">run </w:t>
      </w:r>
      <w:r w:rsidR="00FA7573" w:rsidRPr="00D51EF4">
        <w:rPr>
          <w:lang w:val="en-GB"/>
        </w:rPr>
        <w:t xml:space="preserve">meaningful </w:t>
      </w:r>
      <w:r w:rsidR="00E13BEB" w:rsidRPr="00D51EF4">
        <w:rPr>
          <w:lang w:val="en-GB"/>
        </w:rPr>
        <w:t xml:space="preserve">country-specific tests. </w:t>
      </w:r>
      <w:r w:rsidR="000913D2" w:rsidRPr="00D51EF4">
        <w:rPr>
          <w:lang w:val="en-GB"/>
        </w:rPr>
        <w:t>Nevertheless, b</w:t>
      </w:r>
      <w:r w:rsidR="00E13BEB" w:rsidRPr="00D51EF4">
        <w:rPr>
          <w:lang w:val="en-GB"/>
        </w:rPr>
        <w:t xml:space="preserve">ecause the </w:t>
      </w:r>
      <w:proofErr w:type="spellStart"/>
      <w:r w:rsidR="00E13BEB" w:rsidRPr="00D51EF4">
        <w:rPr>
          <w:lang w:val="en-GB"/>
        </w:rPr>
        <w:t>nonprofit</w:t>
      </w:r>
      <w:proofErr w:type="spellEnd"/>
      <w:r w:rsidR="00E13BEB" w:rsidRPr="00D51EF4">
        <w:rPr>
          <w:lang w:val="en-GB"/>
        </w:rPr>
        <w:t xml:space="preserve"> and for-profit samples both </w:t>
      </w:r>
      <w:r w:rsidR="003A1F42" w:rsidRPr="00D51EF4">
        <w:rPr>
          <w:lang w:val="en-GB"/>
        </w:rPr>
        <w:t xml:space="preserve">include </w:t>
      </w:r>
      <w:r w:rsidR="00E13BEB" w:rsidRPr="00D51EF4">
        <w:rPr>
          <w:lang w:val="en-GB"/>
        </w:rPr>
        <w:t>a very large number of countries (58 and 48 countries, respectively)</w:t>
      </w:r>
      <w:r w:rsidR="009007C7" w:rsidRPr="00D51EF4">
        <w:rPr>
          <w:lang w:val="en-GB"/>
        </w:rPr>
        <w:t>,</w:t>
      </w:r>
      <w:r w:rsidR="00E13BEB" w:rsidRPr="00D51EF4">
        <w:rPr>
          <w:lang w:val="en-GB"/>
        </w:rPr>
        <w:t xml:space="preserve"> no</w:t>
      </w:r>
      <w:r w:rsidR="009007C7" w:rsidRPr="00D51EF4">
        <w:rPr>
          <w:lang w:val="en-GB"/>
        </w:rPr>
        <w:t>ne of our</w:t>
      </w:r>
      <w:r w:rsidR="00E13BEB" w:rsidRPr="00D51EF4">
        <w:rPr>
          <w:lang w:val="en-GB"/>
        </w:rPr>
        <w:t xml:space="preserve"> conclusion</w:t>
      </w:r>
      <w:r w:rsidR="009007C7" w:rsidRPr="00D51EF4">
        <w:rPr>
          <w:lang w:val="en-GB"/>
        </w:rPr>
        <w:t xml:space="preserve">s </w:t>
      </w:r>
      <w:proofErr w:type="gramStart"/>
      <w:r w:rsidR="009007C7" w:rsidRPr="00D51EF4">
        <w:rPr>
          <w:lang w:val="en-GB"/>
        </w:rPr>
        <w:t>are</w:t>
      </w:r>
      <w:proofErr w:type="gramEnd"/>
      <w:r w:rsidR="00E13BEB" w:rsidRPr="00D51EF4">
        <w:rPr>
          <w:lang w:val="en-GB"/>
        </w:rPr>
        <w:t xml:space="preserve"> dependent on single-</w:t>
      </w:r>
      <w:r w:rsidR="00E13BEB" w:rsidRPr="00D51EF4">
        <w:rPr>
          <w:lang w:val="en-GB"/>
        </w:rPr>
        <w:lastRenderedPageBreak/>
        <w:t xml:space="preserve">country characteristics and the findings should be </w:t>
      </w:r>
      <w:proofErr w:type="spellStart"/>
      <w:r w:rsidR="00AD600C" w:rsidRPr="00D51EF4">
        <w:rPr>
          <w:lang w:val="en-GB"/>
        </w:rPr>
        <w:t>general</w:t>
      </w:r>
      <w:r w:rsidR="000552F5" w:rsidRPr="00D51EF4">
        <w:rPr>
          <w:lang w:val="en-GB"/>
        </w:rPr>
        <w:t>is</w:t>
      </w:r>
      <w:r w:rsidR="00AD600C" w:rsidRPr="00D51EF4">
        <w:rPr>
          <w:lang w:val="en-GB"/>
        </w:rPr>
        <w:t>able</w:t>
      </w:r>
      <w:proofErr w:type="spellEnd"/>
      <w:r w:rsidR="00A56400" w:rsidRPr="00D51EF4">
        <w:rPr>
          <w:lang w:val="en-GB"/>
        </w:rPr>
        <w:t xml:space="preserve"> (compare the contention of Barth et al. </w:t>
      </w:r>
      <w:r w:rsidR="00E06EF6" w:rsidRPr="00D51EF4">
        <w:rPr>
          <w:lang w:val="en-GB"/>
        </w:rPr>
        <w:t>[2008] that focusing on a particular country makes it difficult to extrapolate inferences to other countries).</w:t>
      </w:r>
    </w:p>
    <w:p w14:paraId="513CD46C" w14:textId="77777777" w:rsidR="00530024" w:rsidRPr="00D51EF4" w:rsidRDefault="00530024" w:rsidP="00F65B35">
      <w:pPr>
        <w:spacing w:line="480" w:lineRule="auto"/>
        <w:jc w:val="both"/>
        <w:rPr>
          <w:lang w:val="en-GB"/>
        </w:rPr>
      </w:pPr>
    </w:p>
    <w:p w14:paraId="25AE0BF4" w14:textId="0152E70F" w:rsidR="00530024" w:rsidRPr="00D51EF4" w:rsidRDefault="00530024" w:rsidP="00F65B35">
      <w:pPr>
        <w:spacing w:line="480" w:lineRule="auto"/>
        <w:jc w:val="both"/>
        <w:rPr>
          <w:lang w:val="en-GB"/>
        </w:rPr>
      </w:pPr>
      <w:r w:rsidRPr="00D51EF4">
        <w:rPr>
          <w:lang w:val="en-GB"/>
        </w:rPr>
        <w:t xml:space="preserve">Nonetheless, as a robustness test, we </w:t>
      </w:r>
      <w:proofErr w:type="gramStart"/>
      <w:r w:rsidRPr="00D51EF4">
        <w:rPr>
          <w:lang w:val="en-GB"/>
        </w:rPr>
        <w:t>re</w:t>
      </w:r>
      <w:proofErr w:type="gramEnd"/>
      <w:r w:rsidRPr="00D51EF4">
        <w:rPr>
          <w:lang w:val="en-GB"/>
        </w:rPr>
        <w:t xml:space="preserve">-run all tests on the observations from the countries </w:t>
      </w:r>
      <w:r w:rsidR="00A408EA" w:rsidRPr="00D51EF4">
        <w:rPr>
          <w:lang w:val="en-GB"/>
        </w:rPr>
        <w:t>for</w:t>
      </w:r>
      <w:r w:rsidRPr="00D51EF4">
        <w:rPr>
          <w:lang w:val="en-GB"/>
        </w:rPr>
        <w:t xml:space="preserve"> which we have observations in both samples. </w:t>
      </w:r>
      <w:r w:rsidR="00426762" w:rsidRPr="00D51EF4">
        <w:rPr>
          <w:lang w:val="en-GB"/>
        </w:rPr>
        <w:t>Brie</w:t>
      </w:r>
      <w:r w:rsidR="0071523B" w:rsidRPr="00D51EF4">
        <w:rPr>
          <w:lang w:val="en-GB"/>
        </w:rPr>
        <w:t>fly summarised, n</w:t>
      </w:r>
      <w:r w:rsidR="009074EA" w:rsidRPr="00D51EF4">
        <w:rPr>
          <w:lang w:val="en-GB"/>
        </w:rPr>
        <w:t>o</w:t>
      </w:r>
      <w:r w:rsidR="00767EB3" w:rsidRPr="00D51EF4">
        <w:rPr>
          <w:lang w:val="en-GB"/>
        </w:rPr>
        <w:t xml:space="preserve"> conclusion is altered for persistence, predictability, </w:t>
      </w:r>
      <w:proofErr w:type="gramStart"/>
      <w:r w:rsidR="00DC5FB7" w:rsidRPr="00D51EF4">
        <w:rPr>
          <w:lang w:val="en-GB"/>
        </w:rPr>
        <w:t>earnings</w:t>
      </w:r>
      <w:proofErr w:type="gramEnd"/>
      <w:r w:rsidR="00DC5FB7" w:rsidRPr="00D51EF4">
        <w:rPr>
          <w:lang w:val="en-GB"/>
        </w:rPr>
        <w:t xml:space="preserve"> management </w:t>
      </w:r>
      <w:r w:rsidR="00767EB3" w:rsidRPr="00D51EF4">
        <w:rPr>
          <w:lang w:val="en-GB"/>
        </w:rPr>
        <w:t xml:space="preserve">and rating relevance. </w:t>
      </w:r>
      <w:r w:rsidR="00486411" w:rsidRPr="00D51EF4">
        <w:rPr>
          <w:lang w:val="en-GB"/>
        </w:rPr>
        <w:t>However, t</w:t>
      </w:r>
      <w:r w:rsidR="00767EB3" w:rsidRPr="00D51EF4">
        <w:rPr>
          <w:lang w:val="en-GB"/>
        </w:rPr>
        <w:t xml:space="preserve">his alternative sample selection shows significantly larger earnings smoothness for for-profit than </w:t>
      </w:r>
      <w:proofErr w:type="spellStart"/>
      <w:r w:rsidR="00767EB3" w:rsidRPr="00D51EF4">
        <w:rPr>
          <w:lang w:val="en-GB"/>
        </w:rPr>
        <w:t>nonprofit</w:t>
      </w:r>
      <w:proofErr w:type="spellEnd"/>
      <w:r w:rsidR="00767EB3" w:rsidRPr="00D51EF4">
        <w:rPr>
          <w:lang w:val="en-GB"/>
        </w:rPr>
        <w:t xml:space="preserve"> organisations. </w:t>
      </w:r>
    </w:p>
    <w:p w14:paraId="210D4584" w14:textId="77777777" w:rsidR="003C054E" w:rsidRPr="00D51EF4" w:rsidRDefault="003C054E" w:rsidP="00F65B35">
      <w:pPr>
        <w:spacing w:line="480" w:lineRule="auto"/>
        <w:jc w:val="both"/>
        <w:rPr>
          <w:lang w:val="en-GB"/>
        </w:rPr>
      </w:pPr>
    </w:p>
    <w:p w14:paraId="1530A36F" w14:textId="77777777" w:rsidR="00993E4E" w:rsidRPr="00D51EF4" w:rsidRDefault="003C054E" w:rsidP="00F65B35">
      <w:pPr>
        <w:spacing w:line="480" w:lineRule="auto"/>
        <w:jc w:val="both"/>
        <w:rPr>
          <w:lang w:val="en-GB"/>
        </w:rPr>
      </w:pPr>
      <w:r w:rsidRPr="00D51EF4">
        <w:rPr>
          <w:lang w:val="en-GB"/>
        </w:rPr>
        <w:t>4.6.4. Outliers</w:t>
      </w:r>
    </w:p>
    <w:p w14:paraId="05FAA1EF" w14:textId="6476E604" w:rsidR="00993E4E" w:rsidRPr="00D51EF4" w:rsidRDefault="00022062" w:rsidP="00F65B35">
      <w:pPr>
        <w:spacing w:line="480" w:lineRule="auto"/>
        <w:jc w:val="both"/>
        <w:rPr>
          <w:lang w:val="en-GB"/>
        </w:rPr>
      </w:pPr>
      <w:r w:rsidRPr="00D51EF4">
        <w:rPr>
          <w:lang w:val="en-GB"/>
        </w:rPr>
        <w:t xml:space="preserve">To </w:t>
      </w:r>
      <w:r w:rsidR="009007C7" w:rsidRPr="00D51EF4">
        <w:rPr>
          <w:lang w:val="en-GB"/>
        </w:rPr>
        <w:t xml:space="preserve">ensure </w:t>
      </w:r>
      <w:r w:rsidRPr="00D51EF4">
        <w:rPr>
          <w:lang w:val="en-GB"/>
        </w:rPr>
        <w:t xml:space="preserve">that none of our results </w:t>
      </w:r>
      <w:proofErr w:type="gramStart"/>
      <w:r w:rsidR="009007C7" w:rsidRPr="00D51EF4">
        <w:rPr>
          <w:lang w:val="en-GB"/>
        </w:rPr>
        <w:t>are</w:t>
      </w:r>
      <w:proofErr w:type="gramEnd"/>
      <w:r w:rsidR="009007C7" w:rsidRPr="00D51EF4">
        <w:rPr>
          <w:lang w:val="en-GB"/>
        </w:rPr>
        <w:t xml:space="preserve"> </w:t>
      </w:r>
      <w:r w:rsidRPr="00D51EF4">
        <w:rPr>
          <w:lang w:val="en-GB"/>
        </w:rPr>
        <w:t xml:space="preserve">driven by outliers, we truncate </w:t>
      </w:r>
      <w:r w:rsidR="00993E4E" w:rsidRPr="00D51EF4">
        <w:rPr>
          <w:lang w:val="en-GB"/>
        </w:rPr>
        <w:t>the upper and lower percentile of reported earnings</w:t>
      </w:r>
      <w:r w:rsidR="00ED547D" w:rsidRPr="00D51EF4">
        <w:rPr>
          <w:lang w:val="en-GB"/>
        </w:rPr>
        <w:t xml:space="preserve"> </w:t>
      </w:r>
      <w:r w:rsidRPr="00D51EF4">
        <w:rPr>
          <w:lang w:val="en-GB"/>
        </w:rPr>
        <w:t xml:space="preserve">as a final robustness test. Except for the finding that the predictability in the </w:t>
      </w:r>
      <w:proofErr w:type="spellStart"/>
      <w:r w:rsidRPr="00D51EF4">
        <w:rPr>
          <w:lang w:val="en-GB"/>
        </w:rPr>
        <w:t>nonprofit</w:t>
      </w:r>
      <w:proofErr w:type="spellEnd"/>
      <w:r w:rsidRPr="00D51EF4">
        <w:rPr>
          <w:lang w:val="en-GB"/>
        </w:rPr>
        <w:t xml:space="preserve"> sector is slightly higher than in the </w:t>
      </w:r>
      <w:r w:rsidR="00AC696A">
        <w:rPr>
          <w:lang w:val="en-GB"/>
        </w:rPr>
        <w:t>primary</w:t>
      </w:r>
      <w:r w:rsidRPr="00D51EF4">
        <w:rPr>
          <w:lang w:val="en-GB"/>
        </w:rPr>
        <w:t xml:space="preserve"> test, </w:t>
      </w:r>
      <w:r w:rsidR="009007C7" w:rsidRPr="00D51EF4">
        <w:rPr>
          <w:lang w:val="en-GB"/>
        </w:rPr>
        <w:t>no</w:t>
      </w:r>
      <w:r w:rsidRPr="00D51EF4">
        <w:rPr>
          <w:lang w:val="en-GB"/>
        </w:rPr>
        <w:t xml:space="preserve"> empirical results </w:t>
      </w:r>
      <w:proofErr w:type="gramStart"/>
      <w:r w:rsidRPr="00D51EF4">
        <w:rPr>
          <w:lang w:val="en-GB"/>
        </w:rPr>
        <w:t>are altered</w:t>
      </w:r>
      <w:proofErr w:type="gramEnd"/>
      <w:r w:rsidRPr="00D51EF4">
        <w:rPr>
          <w:lang w:val="en-GB"/>
        </w:rPr>
        <w:t xml:space="preserve">.  </w:t>
      </w:r>
    </w:p>
    <w:p w14:paraId="7B2301AC" w14:textId="77777777" w:rsidR="00BF13B5" w:rsidRPr="00D51EF4" w:rsidRDefault="00BF13B5" w:rsidP="00F65B35">
      <w:pPr>
        <w:spacing w:line="480" w:lineRule="auto"/>
        <w:jc w:val="both"/>
        <w:rPr>
          <w:lang w:val="en-GB"/>
        </w:rPr>
      </w:pPr>
    </w:p>
    <w:p w14:paraId="09041800" w14:textId="77777777" w:rsidR="00BF13B5" w:rsidRPr="00D51EF4" w:rsidRDefault="00BF13B5" w:rsidP="00F65B35">
      <w:pPr>
        <w:spacing w:line="480" w:lineRule="auto"/>
        <w:jc w:val="both"/>
        <w:rPr>
          <w:i/>
          <w:lang w:val="en-GB"/>
        </w:rPr>
      </w:pPr>
      <w:r w:rsidRPr="00D51EF4">
        <w:rPr>
          <w:i/>
          <w:lang w:val="en-GB"/>
        </w:rPr>
        <w:t>4.7. Non-Governmental Organisation</w:t>
      </w:r>
      <w:r w:rsidR="00CD72D4" w:rsidRPr="00D51EF4">
        <w:rPr>
          <w:i/>
          <w:lang w:val="en-GB"/>
        </w:rPr>
        <w:t>s</w:t>
      </w:r>
      <w:r w:rsidRPr="00D51EF4">
        <w:rPr>
          <w:i/>
          <w:lang w:val="en-GB"/>
        </w:rPr>
        <w:t xml:space="preserve"> versus Cooperatives and Credit Unions</w:t>
      </w:r>
    </w:p>
    <w:p w14:paraId="7D197CDB" w14:textId="16215B58" w:rsidR="005108EA" w:rsidRPr="00D51EF4" w:rsidRDefault="005108EA" w:rsidP="00F65B35">
      <w:pPr>
        <w:spacing w:line="480" w:lineRule="auto"/>
        <w:jc w:val="both"/>
        <w:rPr>
          <w:lang w:val="en-GB"/>
        </w:rPr>
      </w:pPr>
      <w:r w:rsidRPr="00D51EF4">
        <w:rPr>
          <w:lang w:val="en-GB"/>
        </w:rPr>
        <w:t xml:space="preserve">Subsection 4.6.2 revealed substantial differences in predictability within the </w:t>
      </w:r>
      <w:proofErr w:type="spellStart"/>
      <w:r w:rsidRPr="00D51EF4">
        <w:rPr>
          <w:lang w:val="en-GB"/>
        </w:rPr>
        <w:t>nonprofit</w:t>
      </w:r>
      <w:proofErr w:type="spellEnd"/>
      <w:r w:rsidRPr="00D51EF4">
        <w:rPr>
          <w:lang w:val="en-GB"/>
        </w:rPr>
        <w:t xml:space="preserve"> sample </w:t>
      </w:r>
      <w:r w:rsidR="00486411" w:rsidRPr="00D51EF4">
        <w:rPr>
          <w:lang w:val="en-GB"/>
        </w:rPr>
        <w:t xml:space="preserve">that </w:t>
      </w:r>
      <w:proofErr w:type="gramStart"/>
      <w:r w:rsidR="00486411" w:rsidRPr="00D51EF4">
        <w:rPr>
          <w:lang w:val="en-GB"/>
        </w:rPr>
        <w:t xml:space="preserve">are </w:t>
      </w:r>
      <w:r w:rsidRPr="00D51EF4">
        <w:rPr>
          <w:lang w:val="en-GB"/>
        </w:rPr>
        <w:t>related</w:t>
      </w:r>
      <w:proofErr w:type="gramEnd"/>
      <w:r w:rsidRPr="00D51EF4">
        <w:rPr>
          <w:lang w:val="en-GB"/>
        </w:rPr>
        <w:t xml:space="preserve"> to MFI size. The size-adjusted analyses also revealed systematically larger within-sample differences for </w:t>
      </w:r>
      <w:proofErr w:type="spellStart"/>
      <w:r w:rsidRPr="00D51EF4">
        <w:rPr>
          <w:lang w:val="en-GB"/>
        </w:rPr>
        <w:t>nonprofit</w:t>
      </w:r>
      <w:proofErr w:type="spellEnd"/>
      <w:r w:rsidRPr="00D51EF4">
        <w:rPr>
          <w:lang w:val="en-GB"/>
        </w:rPr>
        <w:t xml:space="preserve"> MFIs than for-profit MFIs</w:t>
      </w:r>
      <w:r w:rsidR="00652DFB" w:rsidRPr="00D51EF4">
        <w:rPr>
          <w:lang w:val="en-GB"/>
        </w:rPr>
        <w:t xml:space="preserve"> (not tabulated)</w:t>
      </w:r>
      <w:r w:rsidRPr="00D51EF4">
        <w:rPr>
          <w:lang w:val="en-GB"/>
        </w:rPr>
        <w:t xml:space="preserve">. We conclude the empirical section with an analysis of possible systematic intra-sample differences for </w:t>
      </w:r>
      <w:proofErr w:type="spellStart"/>
      <w:r w:rsidRPr="00D51EF4">
        <w:rPr>
          <w:lang w:val="en-GB"/>
        </w:rPr>
        <w:t>nonprofit</w:t>
      </w:r>
      <w:proofErr w:type="spellEnd"/>
      <w:r w:rsidRPr="00D51EF4">
        <w:rPr>
          <w:lang w:val="en-GB"/>
        </w:rPr>
        <w:t xml:space="preserve"> organisations. </w:t>
      </w:r>
    </w:p>
    <w:p w14:paraId="55D7DAFD" w14:textId="77777777" w:rsidR="003C1DB5" w:rsidRPr="00D51EF4" w:rsidRDefault="003C1DB5" w:rsidP="00F65B35">
      <w:pPr>
        <w:spacing w:line="480" w:lineRule="auto"/>
        <w:jc w:val="both"/>
        <w:rPr>
          <w:lang w:val="en-GB"/>
        </w:rPr>
      </w:pPr>
    </w:p>
    <w:p w14:paraId="54F8F872" w14:textId="1AC20C88" w:rsidR="003C1DB5" w:rsidRPr="00D51EF4" w:rsidRDefault="003C1DB5" w:rsidP="00F65B35">
      <w:pPr>
        <w:spacing w:line="480" w:lineRule="auto"/>
        <w:jc w:val="both"/>
        <w:rPr>
          <w:lang w:val="en-GB"/>
        </w:rPr>
      </w:pPr>
      <w:r w:rsidRPr="00D51EF4">
        <w:rPr>
          <w:lang w:val="en-GB"/>
        </w:rPr>
        <w:lastRenderedPageBreak/>
        <w:t xml:space="preserve">Generally, possible systematic differences in earnings quality between for-profit and </w:t>
      </w:r>
      <w:proofErr w:type="spellStart"/>
      <w:r w:rsidRPr="00D51EF4">
        <w:rPr>
          <w:lang w:val="en-GB"/>
        </w:rPr>
        <w:t>nonprofit</w:t>
      </w:r>
      <w:proofErr w:type="spellEnd"/>
      <w:r w:rsidRPr="00D51EF4">
        <w:rPr>
          <w:lang w:val="en-GB"/>
        </w:rPr>
        <w:t xml:space="preserve"> entities </w:t>
      </w:r>
      <w:proofErr w:type="gramStart"/>
      <w:r w:rsidR="00486411" w:rsidRPr="00D51EF4">
        <w:rPr>
          <w:lang w:val="en-GB"/>
        </w:rPr>
        <w:t>can</w:t>
      </w:r>
      <w:r w:rsidRPr="00D51EF4">
        <w:rPr>
          <w:lang w:val="en-GB"/>
        </w:rPr>
        <w:t xml:space="preserve"> be caused</w:t>
      </w:r>
      <w:proofErr w:type="gramEnd"/>
      <w:r w:rsidRPr="00D51EF4">
        <w:rPr>
          <w:lang w:val="en-GB"/>
        </w:rPr>
        <w:t xml:space="preserve"> by differences in managerial incentives or governance structures. </w:t>
      </w:r>
      <w:r w:rsidR="0072760D" w:rsidRPr="00D51EF4">
        <w:rPr>
          <w:lang w:val="en-GB"/>
        </w:rPr>
        <w:t>Table 2</w:t>
      </w:r>
      <w:r w:rsidRPr="00D51EF4">
        <w:rPr>
          <w:lang w:val="en-GB"/>
        </w:rPr>
        <w:t xml:space="preserve"> observes few differences in the for-profit sample, whereas in the </w:t>
      </w:r>
      <w:proofErr w:type="spellStart"/>
      <w:r w:rsidRPr="00D51EF4">
        <w:rPr>
          <w:lang w:val="en-GB"/>
        </w:rPr>
        <w:t>nonprofit</w:t>
      </w:r>
      <w:proofErr w:type="spellEnd"/>
      <w:r w:rsidRPr="00D51EF4">
        <w:rPr>
          <w:lang w:val="en-GB"/>
        </w:rPr>
        <w:t xml:space="preserve"> sample, NGOs may differ from cooperatives and credit </w:t>
      </w:r>
      <w:r w:rsidR="00A25E57" w:rsidRPr="00D51EF4">
        <w:rPr>
          <w:lang w:val="en-GB"/>
        </w:rPr>
        <w:t xml:space="preserve">unions </w:t>
      </w:r>
      <w:r w:rsidRPr="00D51EF4">
        <w:rPr>
          <w:lang w:val="en-GB"/>
        </w:rPr>
        <w:t xml:space="preserve">with respect to both profit distribution and governance. NGOs never distribute profits, whereas cooperatives and credit unions </w:t>
      </w:r>
      <w:r w:rsidR="0071114B" w:rsidRPr="00D51EF4">
        <w:rPr>
          <w:lang w:val="en-GB"/>
        </w:rPr>
        <w:t>may</w:t>
      </w:r>
      <w:r w:rsidRPr="00D51EF4">
        <w:rPr>
          <w:lang w:val="en-GB"/>
        </w:rPr>
        <w:t xml:space="preserve"> </w:t>
      </w:r>
      <w:r w:rsidR="00486411" w:rsidRPr="00D51EF4">
        <w:rPr>
          <w:lang w:val="en-GB"/>
        </w:rPr>
        <w:t>distribute profits</w:t>
      </w:r>
      <w:r w:rsidR="0038441F" w:rsidRPr="00D51EF4">
        <w:rPr>
          <w:lang w:val="en-GB"/>
        </w:rPr>
        <w:t xml:space="preserve"> to their members</w:t>
      </w:r>
      <w:r w:rsidR="000552F5" w:rsidRPr="00D51EF4">
        <w:rPr>
          <w:lang w:val="en-GB"/>
        </w:rPr>
        <w:t xml:space="preserve">. Moreover, </w:t>
      </w:r>
      <w:r w:rsidRPr="00D51EF4">
        <w:rPr>
          <w:lang w:val="en-GB"/>
        </w:rPr>
        <w:t xml:space="preserve">in contrast to NGOs, cooperatives and credit unions have governance structures tied to </w:t>
      </w:r>
      <w:r w:rsidR="00486411" w:rsidRPr="00D51EF4">
        <w:rPr>
          <w:lang w:val="en-GB"/>
        </w:rPr>
        <w:t xml:space="preserve">their </w:t>
      </w:r>
      <w:r w:rsidRPr="00D51EF4">
        <w:rPr>
          <w:lang w:val="en-GB"/>
        </w:rPr>
        <w:t>members. The</w:t>
      </w:r>
      <w:r w:rsidR="00486411" w:rsidRPr="00D51EF4">
        <w:rPr>
          <w:lang w:val="en-GB"/>
        </w:rPr>
        <w:t xml:space="preserve">se differing </w:t>
      </w:r>
      <w:r w:rsidRPr="00D51EF4">
        <w:rPr>
          <w:lang w:val="en-GB"/>
        </w:rPr>
        <w:t xml:space="preserve">characteristics may cause visible differences in earnings quality. Thus, we </w:t>
      </w:r>
      <w:proofErr w:type="gramStart"/>
      <w:r w:rsidRPr="00D51EF4">
        <w:rPr>
          <w:lang w:val="en-GB"/>
        </w:rPr>
        <w:t>re</w:t>
      </w:r>
      <w:proofErr w:type="gramEnd"/>
      <w:r w:rsidRPr="00D51EF4">
        <w:rPr>
          <w:lang w:val="en-GB"/>
        </w:rPr>
        <w:t xml:space="preserve">-run all </w:t>
      </w:r>
      <w:r w:rsidR="00486411" w:rsidRPr="00D51EF4">
        <w:rPr>
          <w:lang w:val="en-GB"/>
        </w:rPr>
        <w:t xml:space="preserve">the primary </w:t>
      </w:r>
      <w:r w:rsidRPr="00D51EF4">
        <w:rPr>
          <w:lang w:val="en-GB"/>
        </w:rPr>
        <w:t xml:space="preserve">tests on the </w:t>
      </w:r>
      <w:proofErr w:type="spellStart"/>
      <w:r w:rsidRPr="00D51EF4">
        <w:rPr>
          <w:lang w:val="en-GB"/>
        </w:rPr>
        <w:t>nonprofit</w:t>
      </w:r>
      <w:proofErr w:type="spellEnd"/>
      <w:r w:rsidRPr="00D51EF4">
        <w:rPr>
          <w:lang w:val="en-GB"/>
        </w:rPr>
        <w:t xml:space="preserve"> sample</w:t>
      </w:r>
      <w:r w:rsidR="00486411" w:rsidRPr="00D51EF4">
        <w:rPr>
          <w:lang w:val="en-GB"/>
        </w:rPr>
        <w:t xml:space="preserve"> after</w:t>
      </w:r>
      <w:r w:rsidRPr="00D51EF4">
        <w:rPr>
          <w:lang w:val="en-GB"/>
        </w:rPr>
        <w:t xml:space="preserve"> splitting the sample into NGOs and cooperatives and credit unions. </w:t>
      </w:r>
    </w:p>
    <w:p w14:paraId="6E6013C3" w14:textId="77777777" w:rsidR="00A3205E" w:rsidRPr="00D51EF4" w:rsidRDefault="00A3205E" w:rsidP="00F65B35">
      <w:pPr>
        <w:spacing w:line="480" w:lineRule="auto"/>
        <w:jc w:val="both"/>
        <w:rPr>
          <w:lang w:val="en-GB"/>
        </w:rPr>
      </w:pPr>
    </w:p>
    <w:p w14:paraId="76E324AF" w14:textId="77777777" w:rsidR="00A3205E" w:rsidRPr="00D51EF4" w:rsidRDefault="0072760D" w:rsidP="00F65B35">
      <w:pPr>
        <w:spacing w:line="480" w:lineRule="auto"/>
        <w:jc w:val="both"/>
        <w:rPr>
          <w:lang w:val="en-GB"/>
        </w:rPr>
      </w:pPr>
      <w:r w:rsidRPr="00D51EF4">
        <w:rPr>
          <w:lang w:val="en-GB"/>
        </w:rPr>
        <w:tab/>
      </w:r>
      <w:r w:rsidRPr="00D51EF4">
        <w:rPr>
          <w:lang w:val="en-GB"/>
        </w:rPr>
        <w:tab/>
      </w:r>
      <w:r w:rsidRPr="00D51EF4">
        <w:rPr>
          <w:lang w:val="en-GB"/>
        </w:rPr>
        <w:tab/>
        <w:t>[Insert Table 7</w:t>
      </w:r>
      <w:r w:rsidR="00A3205E" w:rsidRPr="00D51EF4">
        <w:rPr>
          <w:lang w:val="en-GB"/>
        </w:rPr>
        <w:t xml:space="preserve"> about here]</w:t>
      </w:r>
    </w:p>
    <w:p w14:paraId="03034FBB" w14:textId="77777777" w:rsidR="00A3205E" w:rsidRPr="00D51EF4" w:rsidRDefault="00A3205E" w:rsidP="00F65B35">
      <w:pPr>
        <w:spacing w:line="480" w:lineRule="auto"/>
        <w:jc w:val="both"/>
        <w:rPr>
          <w:lang w:val="en-GB"/>
        </w:rPr>
      </w:pPr>
    </w:p>
    <w:p w14:paraId="311659AE" w14:textId="19091846" w:rsidR="00A35132" w:rsidRPr="00D51EF4" w:rsidRDefault="00A3205E" w:rsidP="0061405A">
      <w:pPr>
        <w:spacing w:line="480" w:lineRule="auto"/>
        <w:jc w:val="both"/>
        <w:rPr>
          <w:lang w:val="en-GB"/>
        </w:rPr>
      </w:pPr>
      <w:r w:rsidRPr="00D51EF4">
        <w:rPr>
          <w:lang w:val="en-GB"/>
        </w:rPr>
        <w:t xml:space="preserve">Table </w:t>
      </w:r>
      <w:r w:rsidR="0072760D" w:rsidRPr="00D51EF4">
        <w:rPr>
          <w:lang w:val="en-GB"/>
        </w:rPr>
        <w:t>7</w:t>
      </w:r>
      <w:r w:rsidRPr="00D51EF4">
        <w:rPr>
          <w:lang w:val="en-GB"/>
        </w:rPr>
        <w:t xml:space="preserve"> summarises the earnings quality metrics for the NGO sample and the cooperatives and credit union sample. </w:t>
      </w:r>
      <w:r w:rsidR="00A35132" w:rsidRPr="00D51EF4">
        <w:rPr>
          <w:lang w:val="en-GB"/>
        </w:rPr>
        <w:t xml:space="preserve">The results reported for the NGOs are very similar to those reported for </w:t>
      </w:r>
      <w:proofErr w:type="spellStart"/>
      <w:r w:rsidR="00A35132" w:rsidRPr="00D51EF4">
        <w:rPr>
          <w:lang w:val="en-GB"/>
        </w:rPr>
        <w:t>nonprofit</w:t>
      </w:r>
      <w:proofErr w:type="spellEnd"/>
      <w:r w:rsidR="00A35132" w:rsidRPr="00D51EF4">
        <w:rPr>
          <w:lang w:val="en-GB"/>
        </w:rPr>
        <w:t xml:space="preserve"> organisations in the </w:t>
      </w:r>
      <w:r w:rsidR="00036BB5">
        <w:rPr>
          <w:lang w:val="en-GB"/>
        </w:rPr>
        <w:t>primary</w:t>
      </w:r>
      <w:r w:rsidR="00A35132" w:rsidRPr="00D51EF4">
        <w:rPr>
          <w:lang w:val="en-GB"/>
        </w:rPr>
        <w:t xml:space="preserve"> tests. Thus, the results </w:t>
      </w:r>
      <w:r w:rsidR="00640DE3" w:rsidRPr="00D51EF4">
        <w:rPr>
          <w:lang w:val="en-GB"/>
        </w:rPr>
        <w:t>for</w:t>
      </w:r>
      <w:r w:rsidR="00A35132" w:rsidRPr="00D51EF4">
        <w:rPr>
          <w:lang w:val="en-GB"/>
        </w:rPr>
        <w:t xml:space="preserve"> </w:t>
      </w:r>
      <w:proofErr w:type="spellStart"/>
      <w:r w:rsidR="00A35132" w:rsidRPr="00D51EF4">
        <w:rPr>
          <w:lang w:val="en-GB"/>
        </w:rPr>
        <w:t>nonprofit</w:t>
      </w:r>
      <w:proofErr w:type="spellEnd"/>
      <w:r w:rsidR="00A35132" w:rsidRPr="00D51EF4">
        <w:rPr>
          <w:lang w:val="en-GB"/>
        </w:rPr>
        <w:t xml:space="preserve"> organisations appear to </w:t>
      </w:r>
      <w:proofErr w:type="gramStart"/>
      <w:r w:rsidR="00A35132" w:rsidRPr="00D51EF4">
        <w:rPr>
          <w:lang w:val="en-GB"/>
        </w:rPr>
        <w:t>be driven</w:t>
      </w:r>
      <w:proofErr w:type="gramEnd"/>
      <w:r w:rsidR="00A35132" w:rsidRPr="00D51EF4">
        <w:rPr>
          <w:lang w:val="en-GB"/>
        </w:rPr>
        <w:t xml:space="preserve"> by the NGOs, and a comparison of the for-profit</w:t>
      </w:r>
      <w:r w:rsidR="00683C6F" w:rsidRPr="00D51EF4">
        <w:rPr>
          <w:lang w:val="en-GB"/>
        </w:rPr>
        <w:t>s</w:t>
      </w:r>
      <w:r w:rsidR="00A35132" w:rsidRPr="00D51EF4">
        <w:rPr>
          <w:lang w:val="en-GB"/>
        </w:rPr>
        <w:t xml:space="preserve"> and the NGOs </w:t>
      </w:r>
      <w:r w:rsidR="00B770D2" w:rsidRPr="00D51EF4">
        <w:rPr>
          <w:lang w:val="en-GB"/>
        </w:rPr>
        <w:t xml:space="preserve">generally </w:t>
      </w:r>
      <w:r w:rsidR="00A35132" w:rsidRPr="00D51EF4">
        <w:rPr>
          <w:lang w:val="en-GB"/>
        </w:rPr>
        <w:t xml:space="preserve">shows insignificant differences in earnings quality (not tabulated). </w:t>
      </w:r>
    </w:p>
    <w:p w14:paraId="417B2A27" w14:textId="77777777" w:rsidR="00A35132" w:rsidRPr="00D51EF4" w:rsidRDefault="00A35132" w:rsidP="0061405A">
      <w:pPr>
        <w:spacing w:line="480" w:lineRule="auto"/>
        <w:jc w:val="both"/>
        <w:rPr>
          <w:lang w:val="en-GB"/>
        </w:rPr>
      </w:pPr>
    </w:p>
    <w:p w14:paraId="2D0CDEA7" w14:textId="58F582D4" w:rsidR="00E85D52" w:rsidRPr="00D51EF4" w:rsidRDefault="00A35132" w:rsidP="0061405A">
      <w:pPr>
        <w:spacing w:line="480" w:lineRule="auto"/>
        <w:jc w:val="both"/>
        <w:rPr>
          <w:lang w:val="en-GB"/>
        </w:rPr>
      </w:pPr>
      <w:r w:rsidRPr="00D51EF4">
        <w:rPr>
          <w:lang w:val="en-GB"/>
        </w:rPr>
        <w:t>However, Table 7 reveals some substantial differences between the NGO sample and the cooperatives and credit union</w:t>
      </w:r>
      <w:r w:rsidR="00640DE3" w:rsidRPr="00D51EF4">
        <w:rPr>
          <w:lang w:val="en-GB"/>
        </w:rPr>
        <w:t>s</w:t>
      </w:r>
      <w:r w:rsidRPr="00D51EF4">
        <w:rPr>
          <w:lang w:val="en-GB"/>
        </w:rPr>
        <w:t xml:space="preserve"> sample. </w:t>
      </w:r>
      <w:r w:rsidR="00A35343" w:rsidRPr="00D51EF4">
        <w:rPr>
          <w:lang w:val="en-GB"/>
        </w:rPr>
        <w:t>NGOs report significantly more persistent earnings, whereas cooperatives and credit unions have the smoothest earnings. Thus, these te</w:t>
      </w:r>
      <w:r w:rsidR="00AC6202" w:rsidRPr="00D51EF4">
        <w:rPr>
          <w:lang w:val="en-GB"/>
        </w:rPr>
        <w:t>sts of earnings quality present</w:t>
      </w:r>
      <w:r w:rsidR="00A35343" w:rsidRPr="00D51EF4">
        <w:rPr>
          <w:lang w:val="en-GB"/>
        </w:rPr>
        <w:t xml:space="preserve"> contradictory results. However, note that smooth earnings are an ambiguous concept in earnings quality research. Although smooth earnings suggest that </w:t>
      </w:r>
      <w:proofErr w:type="gramStart"/>
      <w:r w:rsidR="00A35343" w:rsidRPr="00D51EF4">
        <w:rPr>
          <w:lang w:val="en-GB"/>
        </w:rPr>
        <w:t>current</w:t>
      </w:r>
      <w:proofErr w:type="gramEnd"/>
      <w:r w:rsidR="00A35343" w:rsidRPr="00D51EF4">
        <w:rPr>
          <w:lang w:val="en-GB"/>
        </w:rPr>
        <w:t xml:space="preserve"> earnings are more indicative of future earnings, earnings smoothing may also be an indication of ea</w:t>
      </w:r>
      <w:r w:rsidR="00980134" w:rsidRPr="00D51EF4">
        <w:rPr>
          <w:lang w:val="en-GB"/>
        </w:rPr>
        <w:t xml:space="preserve">rnings </w:t>
      </w:r>
      <w:r w:rsidR="00980134" w:rsidRPr="00D51EF4">
        <w:rPr>
          <w:lang w:val="en-GB"/>
        </w:rPr>
        <w:lastRenderedPageBreak/>
        <w:t>management (Barth et al.</w:t>
      </w:r>
      <w:r w:rsidR="00A35343" w:rsidRPr="00D51EF4">
        <w:rPr>
          <w:lang w:val="en-GB"/>
        </w:rPr>
        <w:t xml:space="preserve"> 2008). Barth et al. (2008) contend that companies that </w:t>
      </w:r>
      <w:r w:rsidR="005929CD" w:rsidRPr="00D51EF4">
        <w:rPr>
          <w:lang w:val="en-GB"/>
        </w:rPr>
        <w:t xml:space="preserve">manage earnings tend to smooth earnings, </w:t>
      </w:r>
      <w:r w:rsidR="00213181" w:rsidRPr="00D51EF4">
        <w:rPr>
          <w:lang w:val="en-GB"/>
        </w:rPr>
        <w:t>they seek to report positive</w:t>
      </w:r>
      <w:r w:rsidR="005929CD" w:rsidRPr="00D51EF4">
        <w:rPr>
          <w:lang w:val="en-GB"/>
        </w:rPr>
        <w:t xml:space="preserve"> earnings </w:t>
      </w:r>
      <w:r w:rsidR="00213181" w:rsidRPr="00D51EF4">
        <w:rPr>
          <w:lang w:val="en-GB"/>
        </w:rPr>
        <w:t xml:space="preserve">(profits) and they avoid reporting large losses. Table </w:t>
      </w:r>
      <w:r w:rsidR="0072760D" w:rsidRPr="00D51EF4">
        <w:rPr>
          <w:lang w:val="en-GB"/>
        </w:rPr>
        <w:t>7</w:t>
      </w:r>
      <w:r w:rsidR="00213181" w:rsidRPr="00D51EF4">
        <w:rPr>
          <w:lang w:val="en-GB"/>
        </w:rPr>
        <w:t xml:space="preserve"> strongly indicates that cooperatives and credit unions are more involved in earnings management</w:t>
      </w:r>
      <w:r w:rsidR="00AC6202" w:rsidRPr="00D51EF4">
        <w:rPr>
          <w:lang w:val="en-GB"/>
        </w:rPr>
        <w:t xml:space="preserve">. </w:t>
      </w:r>
      <w:r w:rsidR="000146B2" w:rsidRPr="00D51EF4">
        <w:rPr>
          <w:lang w:val="en-GB"/>
        </w:rPr>
        <w:t>A</w:t>
      </w:r>
      <w:r w:rsidR="00AC6202" w:rsidRPr="00D51EF4">
        <w:rPr>
          <w:lang w:val="en-GB"/>
        </w:rPr>
        <w:t xml:space="preserve">ll three earnings quality </w:t>
      </w:r>
      <w:r w:rsidR="00E85D52" w:rsidRPr="00D51EF4">
        <w:rPr>
          <w:lang w:val="en-GB"/>
        </w:rPr>
        <w:t>metrics suggest that</w:t>
      </w:r>
      <w:r w:rsidR="00AC6202" w:rsidRPr="00D51EF4">
        <w:rPr>
          <w:lang w:val="en-GB"/>
        </w:rPr>
        <w:t xml:space="preserve"> </w:t>
      </w:r>
      <w:r w:rsidR="00CD72D4" w:rsidRPr="00D51EF4">
        <w:rPr>
          <w:lang w:val="en-GB"/>
        </w:rPr>
        <w:t>cooperatives</w:t>
      </w:r>
      <w:r w:rsidR="00AC6202" w:rsidRPr="00D51EF4">
        <w:rPr>
          <w:lang w:val="en-GB"/>
        </w:rPr>
        <w:t xml:space="preserve"> and credit unions </w:t>
      </w:r>
      <w:r w:rsidR="00036430" w:rsidRPr="00D51EF4">
        <w:rPr>
          <w:lang w:val="en-GB"/>
        </w:rPr>
        <w:t>manage</w:t>
      </w:r>
      <w:r w:rsidR="00AC6202" w:rsidRPr="00D51EF4">
        <w:rPr>
          <w:lang w:val="en-GB"/>
        </w:rPr>
        <w:t xml:space="preserve"> earnings </w:t>
      </w:r>
      <w:r w:rsidR="00036430" w:rsidRPr="00D51EF4">
        <w:rPr>
          <w:lang w:val="en-GB"/>
        </w:rPr>
        <w:t xml:space="preserve">more </w:t>
      </w:r>
      <w:r w:rsidR="00AC6202" w:rsidRPr="00D51EF4">
        <w:rPr>
          <w:lang w:val="en-GB"/>
        </w:rPr>
        <w:t>than NGOs</w:t>
      </w:r>
      <w:r w:rsidR="00213181" w:rsidRPr="00D51EF4">
        <w:rPr>
          <w:lang w:val="en-GB"/>
        </w:rPr>
        <w:t xml:space="preserve"> </w:t>
      </w:r>
      <w:r w:rsidR="00036430" w:rsidRPr="00D51EF4">
        <w:rPr>
          <w:lang w:val="en-GB"/>
        </w:rPr>
        <w:t xml:space="preserve">do </w:t>
      </w:r>
      <w:r w:rsidR="00213181" w:rsidRPr="00D51EF4">
        <w:rPr>
          <w:lang w:val="en-GB"/>
        </w:rPr>
        <w:t>(</w:t>
      </w:r>
      <w:r w:rsidR="00036430" w:rsidRPr="00D51EF4">
        <w:rPr>
          <w:lang w:val="en-GB"/>
        </w:rPr>
        <w:t xml:space="preserve">however, </w:t>
      </w:r>
      <w:r w:rsidR="00213181" w:rsidRPr="00D51EF4">
        <w:rPr>
          <w:lang w:val="en-GB"/>
        </w:rPr>
        <w:t xml:space="preserve">the results </w:t>
      </w:r>
      <w:r w:rsidR="00036430" w:rsidRPr="00D51EF4">
        <w:rPr>
          <w:lang w:val="en-GB"/>
        </w:rPr>
        <w:t xml:space="preserve">for </w:t>
      </w:r>
      <w:r w:rsidR="00213181" w:rsidRPr="00D51EF4">
        <w:rPr>
          <w:lang w:val="en-GB"/>
        </w:rPr>
        <w:t>large loss avoidance are only weakly significant)</w:t>
      </w:r>
      <w:r w:rsidR="00E85D52" w:rsidRPr="00D51EF4">
        <w:rPr>
          <w:lang w:val="en-GB"/>
        </w:rPr>
        <w:t>.</w:t>
      </w:r>
      <w:r w:rsidR="00575387" w:rsidRPr="00D51EF4">
        <w:rPr>
          <w:lang w:val="en-GB"/>
        </w:rPr>
        <w:t xml:space="preserve"> </w:t>
      </w:r>
      <w:r w:rsidR="00223C87" w:rsidRPr="00D51EF4">
        <w:rPr>
          <w:lang w:val="en-GB"/>
        </w:rPr>
        <w:t>The presence of</w:t>
      </w:r>
      <w:r w:rsidR="00E243CC">
        <w:rPr>
          <w:lang w:val="en-GB"/>
        </w:rPr>
        <w:t xml:space="preserve"> earnings management in the </w:t>
      </w:r>
      <w:proofErr w:type="spellStart"/>
      <w:r w:rsidR="00E243CC">
        <w:rPr>
          <w:lang w:val="en-GB"/>
        </w:rPr>
        <w:t>non</w:t>
      </w:r>
      <w:r w:rsidR="00223C87" w:rsidRPr="00D51EF4">
        <w:rPr>
          <w:lang w:val="en-GB"/>
        </w:rPr>
        <w:t>profit</w:t>
      </w:r>
      <w:proofErr w:type="spellEnd"/>
      <w:r w:rsidR="00223C87" w:rsidRPr="00D51EF4">
        <w:rPr>
          <w:lang w:val="en-GB"/>
        </w:rPr>
        <w:t xml:space="preserve"> sector is </w:t>
      </w:r>
      <w:proofErr w:type="gramStart"/>
      <w:r w:rsidR="00223C87" w:rsidRPr="00D51EF4">
        <w:rPr>
          <w:lang w:val="en-GB"/>
        </w:rPr>
        <w:t>not an unknown</w:t>
      </w:r>
      <w:proofErr w:type="gramEnd"/>
      <w:r w:rsidR="00223C87" w:rsidRPr="00D51EF4">
        <w:rPr>
          <w:lang w:val="en-GB"/>
        </w:rPr>
        <w:t xml:space="preserve"> phenomenon</w:t>
      </w:r>
      <w:r w:rsidR="00D2642C" w:rsidRPr="00D51EF4">
        <w:rPr>
          <w:lang w:val="en-GB"/>
        </w:rPr>
        <w:t>;</w:t>
      </w:r>
      <w:r w:rsidR="00223C87" w:rsidRPr="00D51EF4">
        <w:rPr>
          <w:lang w:val="en-GB"/>
        </w:rPr>
        <w:t xml:space="preserve"> see, e.g., Trussel (2003). </w:t>
      </w:r>
      <w:r w:rsidR="00575387" w:rsidRPr="00D51EF4">
        <w:rPr>
          <w:lang w:val="en-GB"/>
        </w:rPr>
        <w:t xml:space="preserve">The findings </w:t>
      </w:r>
      <w:proofErr w:type="gramStart"/>
      <w:r w:rsidR="00575387" w:rsidRPr="00D51EF4">
        <w:rPr>
          <w:lang w:val="en-GB"/>
        </w:rPr>
        <w:t>can be related</w:t>
      </w:r>
      <w:proofErr w:type="gramEnd"/>
      <w:r w:rsidR="00575387" w:rsidRPr="00D51EF4">
        <w:rPr>
          <w:lang w:val="en-GB"/>
        </w:rPr>
        <w:t xml:space="preserve"> to</w:t>
      </w:r>
      <w:r w:rsidR="00D2642C" w:rsidRPr="00D51EF4">
        <w:rPr>
          <w:lang w:val="en-GB"/>
        </w:rPr>
        <w:t xml:space="preserve"> those of</w:t>
      </w:r>
      <w:r w:rsidR="00575387" w:rsidRPr="00D51EF4">
        <w:rPr>
          <w:lang w:val="en-GB"/>
        </w:rPr>
        <w:t xml:space="preserve"> Calabrese (2012), who find</w:t>
      </w:r>
      <w:r w:rsidR="00D2642C" w:rsidRPr="00D51EF4">
        <w:rPr>
          <w:lang w:val="en-GB"/>
        </w:rPr>
        <w:t>s</w:t>
      </w:r>
      <w:r w:rsidR="00575387" w:rsidRPr="00D51EF4">
        <w:rPr>
          <w:lang w:val="en-GB"/>
        </w:rPr>
        <w:t xml:space="preserve"> that </w:t>
      </w:r>
      <w:proofErr w:type="spellStart"/>
      <w:r w:rsidR="00223C87" w:rsidRPr="00D51EF4">
        <w:rPr>
          <w:lang w:val="en-GB"/>
        </w:rPr>
        <w:t>nonprofit</w:t>
      </w:r>
      <w:proofErr w:type="spellEnd"/>
      <w:r w:rsidR="00223C87" w:rsidRPr="00D51EF4">
        <w:rPr>
          <w:lang w:val="en-GB"/>
        </w:rPr>
        <w:t xml:space="preserve"> organisations </w:t>
      </w:r>
      <w:r w:rsidR="00575387" w:rsidRPr="00D51EF4">
        <w:rPr>
          <w:lang w:val="en-GB"/>
        </w:rPr>
        <w:t xml:space="preserve">often target profits, even if the targets </w:t>
      </w:r>
      <w:r w:rsidR="003559F6" w:rsidRPr="00D51EF4">
        <w:rPr>
          <w:lang w:val="en-GB"/>
        </w:rPr>
        <w:t>are</w:t>
      </w:r>
      <w:r w:rsidR="00575387" w:rsidRPr="00D51EF4">
        <w:rPr>
          <w:lang w:val="en-GB"/>
        </w:rPr>
        <w:t xml:space="preserve"> set at very low levels. </w:t>
      </w:r>
    </w:p>
    <w:p w14:paraId="61C68741" w14:textId="77777777" w:rsidR="00213181" w:rsidRPr="00D51EF4" w:rsidRDefault="00213181" w:rsidP="0061405A">
      <w:pPr>
        <w:spacing w:line="480" w:lineRule="auto"/>
        <w:jc w:val="both"/>
        <w:rPr>
          <w:lang w:val="en-GB"/>
        </w:rPr>
      </w:pPr>
    </w:p>
    <w:p w14:paraId="183FB99C" w14:textId="0635057D" w:rsidR="00213181" w:rsidRPr="00D51EF4" w:rsidRDefault="0072760D" w:rsidP="00A845F0">
      <w:pPr>
        <w:autoSpaceDE w:val="0"/>
        <w:autoSpaceDN w:val="0"/>
        <w:adjustRightInd w:val="0"/>
        <w:spacing w:line="480" w:lineRule="auto"/>
        <w:jc w:val="both"/>
        <w:rPr>
          <w:lang w:val="en-GB"/>
        </w:rPr>
      </w:pPr>
      <w:r w:rsidRPr="00D51EF4">
        <w:rPr>
          <w:lang w:val="en-GB"/>
        </w:rPr>
        <w:t>Overall, Table 7</w:t>
      </w:r>
      <w:r w:rsidR="00213181" w:rsidRPr="00D51EF4">
        <w:rPr>
          <w:lang w:val="en-GB"/>
        </w:rPr>
        <w:t xml:space="preserve"> </w:t>
      </w:r>
      <w:r w:rsidR="0038441F" w:rsidRPr="00D51EF4">
        <w:rPr>
          <w:lang w:val="en-GB"/>
        </w:rPr>
        <w:t xml:space="preserve">indicates </w:t>
      </w:r>
      <w:r w:rsidR="00213181" w:rsidRPr="00D51EF4">
        <w:rPr>
          <w:lang w:val="en-GB"/>
        </w:rPr>
        <w:t xml:space="preserve">that NGOs have higher earnings quality than do cooperatives and credit unions, both because NGOs have more persistent earnings and because they appear to report earnings numbers less contaminated by earnings management. </w:t>
      </w:r>
      <w:r w:rsidR="006F4D7D" w:rsidRPr="00D51EF4">
        <w:rPr>
          <w:lang w:val="en-GB"/>
        </w:rPr>
        <w:t xml:space="preserve">The finding </w:t>
      </w:r>
      <w:proofErr w:type="gramStart"/>
      <w:r w:rsidR="006F4D7D" w:rsidRPr="00D51EF4">
        <w:rPr>
          <w:lang w:val="en-GB"/>
        </w:rPr>
        <w:t>can be interpreted</w:t>
      </w:r>
      <w:proofErr w:type="gramEnd"/>
      <w:r w:rsidR="006F4D7D" w:rsidRPr="00D51EF4">
        <w:rPr>
          <w:lang w:val="en-GB"/>
        </w:rPr>
        <w:t xml:space="preserve"> in </w:t>
      </w:r>
      <w:r w:rsidR="00FE2600" w:rsidRPr="00D51EF4">
        <w:rPr>
          <w:lang w:val="en-GB"/>
        </w:rPr>
        <w:t xml:space="preserve">the context </w:t>
      </w:r>
      <w:r w:rsidR="006F4D7D" w:rsidRPr="00D51EF4">
        <w:rPr>
          <w:lang w:val="en-GB"/>
        </w:rPr>
        <w:t xml:space="preserve">of the </w:t>
      </w:r>
      <w:r w:rsidR="00FE2600" w:rsidRPr="00D51EF4">
        <w:rPr>
          <w:lang w:val="en-GB"/>
        </w:rPr>
        <w:t xml:space="preserve">results </w:t>
      </w:r>
      <w:r w:rsidR="006F4D7D" w:rsidRPr="00D51EF4">
        <w:rPr>
          <w:lang w:val="en-GB"/>
        </w:rPr>
        <w:t>of Peril</w:t>
      </w:r>
      <w:r w:rsidR="00A25E57" w:rsidRPr="00D51EF4">
        <w:rPr>
          <w:lang w:val="en-GB"/>
        </w:rPr>
        <w:t>l</w:t>
      </w:r>
      <w:r w:rsidR="006F4D7D" w:rsidRPr="00D51EF4">
        <w:rPr>
          <w:lang w:val="en-GB"/>
        </w:rPr>
        <w:t xml:space="preserve">eux et al. (2012). This study shows that whereas NGOs </w:t>
      </w:r>
      <w:r w:rsidR="00FE2600" w:rsidRPr="00D51EF4">
        <w:rPr>
          <w:lang w:val="en-GB"/>
        </w:rPr>
        <w:t xml:space="preserve">retain </w:t>
      </w:r>
      <w:r w:rsidR="006F4D7D" w:rsidRPr="00D51EF4">
        <w:rPr>
          <w:lang w:val="en-GB"/>
        </w:rPr>
        <w:t>their surplus</w:t>
      </w:r>
      <w:r w:rsidR="00FE2600" w:rsidRPr="00D51EF4">
        <w:rPr>
          <w:lang w:val="en-GB"/>
        </w:rPr>
        <w:t>es</w:t>
      </w:r>
      <w:r w:rsidR="00B55F18" w:rsidRPr="00D51EF4">
        <w:rPr>
          <w:rStyle w:val="Fotnotereferanse"/>
          <w:lang w:val="en-GB"/>
        </w:rPr>
        <w:footnoteReference w:id="2"/>
      </w:r>
      <w:r w:rsidR="006F4D7D" w:rsidRPr="00D51EF4">
        <w:rPr>
          <w:lang w:val="en-GB"/>
        </w:rPr>
        <w:t xml:space="preserve"> within the institution, the surplus distribution</w:t>
      </w:r>
      <w:r w:rsidR="00FE2600" w:rsidRPr="00D51EF4">
        <w:rPr>
          <w:lang w:val="en-GB"/>
        </w:rPr>
        <w:t>s</w:t>
      </w:r>
      <w:r w:rsidR="006F4D7D" w:rsidRPr="00D51EF4">
        <w:rPr>
          <w:lang w:val="en-GB"/>
        </w:rPr>
        <w:t xml:space="preserve"> of </w:t>
      </w:r>
      <w:r w:rsidR="00CD72D4" w:rsidRPr="00D51EF4">
        <w:rPr>
          <w:lang w:val="en-GB"/>
        </w:rPr>
        <w:t>cooperatives</w:t>
      </w:r>
      <w:r w:rsidR="006F4D7D" w:rsidRPr="00D51EF4">
        <w:rPr>
          <w:lang w:val="en-GB"/>
        </w:rPr>
        <w:t xml:space="preserve"> favour providers and employees</w:t>
      </w:r>
      <w:r w:rsidR="00FE2600" w:rsidRPr="00D51EF4">
        <w:rPr>
          <w:lang w:val="en-GB"/>
        </w:rPr>
        <w:t xml:space="preserve"> </w:t>
      </w:r>
      <w:r w:rsidR="00063466">
        <w:rPr>
          <w:lang w:val="en-GB"/>
        </w:rPr>
        <w:t xml:space="preserve">(e.g., </w:t>
      </w:r>
      <w:r w:rsidR="00B55F18" w:rsidRPr="00D51EF4">
        <w:rPr>
          <w:lang w:val="en-GB"/>
        </w:rPr>
        <w:t>favourable prices and relatively high salaries</w:t>
      </w:r>
      <w:r w:rsidR="00063466">
        <w:rPr>
          <w:lang w:val="en-GB"/>
        </w:rPr>
        <w:t>)</w:t>
      </w:r>
      <w:r w:rsidR="006F4D7D" w:rsidRPr="00D51EF4">
        <w:rPr>
          <w:lang w:val="en-GB"/>
        </w:rPr>
        <w:t>. Obviously, if an organisation seeks to distribute it</w:t>
      </w:r>
      <w:r w:rsidR="00674AE1" w:rsidRPr="00D51EF4">
        <w:rPr>
          <w:lang w:val="en-GB"/>
        </w:rPr>
        <w:t>s</w:t>
      </w:r>
      <w:r w:rsidR="006F4D7D" w:rsidRPr="00D51EF4">
        <w:rPr>
          <w:lang w:val="en-GB"/>
        </w:rPr>
        <w:t xml:space="preserve"> profit</w:t>
      </w:r>
      <w:r w:rsidR="00FE2600" w:rsidRPr="00D51EF4">
        <w:rPr>
          <w:lang w:val="en-GB"/>
        </w:rPr>
        <w:t>s</w:t>
      </w:r>
      <w:r w:rsidR="006F4D7D" w:rsidRPr="00D51EF4">
        <w:rPr>
          <w:lang w:val="en-GB"/>
        </w:rPr>
        <w:t xml:space="preserve"> to persons with an (economic) interest in the organisation, they have </w:t>
      </w:r>
      <w:r w:rsidR="00FE2600" w:rsidRPr="00D51EF4">
        <w:rPr>
          <w:lang w:val="en-GB"/>
        </w:rPr>
        <w:t xml:space="preserve">a greater </w:t>
      </w:r>
      <w:r w:rsidR="006F4D7D" w:rsidRPr="00D51EF4">
        <w:rPr>
          <w:lang w:val="en-GB"/>
        </w:rPr>
        <w:t>incentive to report smooth, positive earnings and avoid large losses. According to Perilleux et al. (2012)</w:t>
      </w:r>
      <w:r w:rsidR="00FE2600" w:rsidRPr="00D51EF4">
        <w:rPr>
          <w:lang w:val="en-GB"/>
        </w:rPr>
        <w:t>,</w:t>
      </w:r>
      <w:r w:rsidR="006F4D7D" w:rsidRPr="00D51EF4">
        <w:rPr>
          <w:lang w:val="en-GB"/>
        </w:rPr>
        <w:t xml:space="preserve"> the </w:t>
      </w:r>
      <w:r w:rsidR="00CD72D4" w:rsidRPr="00D51EF4">
        <w:rPr>
          <w:lang w:val="en-GB"/>
        </w:rPr>
        <w:t>cooperatives</w:t>
      </w:r>
      <w:r w:rsidR="006F4D7D" w:rsidRPr="00D51EF4">
        <w:rPr>
          <w:lang w:val="en-GB"/>
        </w:rPr>
        <w:t xml:space="preserve"> have the possibility </w:t>
      </w:r>
      <w:r w:rsidR="00AC4BC0" w:rsidRPr="00D51EF4">
        <w:rPr>
          <w:lang w:val="en-GB"/>
        </w:rPr>
        <w:t>t</w:t>
      </w:r>
      <w:r w:rsidR="006F4D7D" w:rsidRPr="00D51EF4">
        <w:rPr>
          <w:lang w:val="en-GB"/>
        </w:rPr>
        <w:t xml:space="preserve">o pursue such a strategy; </w:t>
      </w:r>
      <w:r w:rsidR="00380E9C">
        <w:rPr>
          <w:lang w:val="en-GB"/>
        </w:rPr>
        <w:t>whereas</w:t>
      </w:r>
      <w:r w:rsidR="00FE2600" w:rsidRPr="00D51EF4">
        <w:rPr>
          <w:lang w:val="en-GB"/>
        </w:rPr>
        <w:t xml:space="preserve"> </w:t>
      </w:r>
      <w:r w:rsidR="006F4D7D" w:rsidRPr="00D51EF4">
        <w:rPr>
          <w:lang w:val="en-GB"/>
        </w:rPr>
        <w:t xml:space="preserve">NGOs typically have board members without a personal stake in the organisation, </w:t>
      </w:r>
      <w:r w:rsidR="00CD72D4" w:rsidRPr="00D51EF4">
        <w:rPr>
          <w:lang w:val="en-GB"/>
        </w:rPr>
        <w:t>cooperatives</w:t>
      </w:r>
      <w:r w:rsidR="00FE2600" w:rsidRPr="00D51EF4">
        <w:rPr>
          <w:lang w:val="en-GB"/>
        </w:rPr>
        <w:t>’</w:t>
      </w:r>
      <w:r w:rsidR="0061405A" w:rsidRPr="00D51EF4">
        <w:rPr>
          <w:lang w:val="en-GB"/>
        </w:rPr>
        <w:t xml:space="preserve"> members most often exercise the ultimate control</w:t>
      </w:r>
      <w:r w:rsidR="00AC4BC0" w:rsidRPr="00D51EF4">
        <w:rPr>
          <w:lang w:val="en-GB"/>
        </w:rPr>
        <w:t xml:space="preserve"> of the organisation</w:t>
      </w:r>
      <w:r w:rsidR="0061405A" w:rsidRPr="00D51EF4">
        <w:rPr>
          <w:lang w:val="en-GB"/>
        </w:rPr>
        <w:t xml:space="preserve"> and </w:t>
      </w:r>
      <w:r w:rsidR="00FE2600" w:rsidRPr="00D51EF4">
        <w:rPr>
          <w:lang w:val="en-GB"/>
        </w:rPr>
        <w:t xml:space="preserve">influence </w:t>
      </w:r>
      <w:r w:rsidR="0061405A" w:rsidRPr="00D51EF4">
        <w:rPr>
          <w:lang w:val="en-GB"/>
        </w:rPr>
        <w:t xml:space="preserve">the major decisions through their voting rights. </w:t>
      </w:r>
      <w:r w:rsidR="00674AE1" w:rsidRPr="00D51EF4">
        <w:rPr>
          <w:lang w:val="en-GB"/>
        </w:rPr>
        <w:t>C</w:t>
      </w:r>
      <w:r w:rsidR="00CD72D4" w:rsidRPr="00D51EF4">
        <w:rPr>
          <w:lang w:val="en-GB"/>
        </w:rPr>
        <w:t>ooperatives</w:t>
      </w:r>
      <w:r w:rsidR="00FE2600" w:rsidRPr="00D51EF4">
        <w:rPr>
          <w:lang w:val="en-GB"/>
        </w:rPr>
        <w:t>’</w:t>
      </w:r>
      <w:r w:rsidR="0061405A" w:rsidRPr="00D51EF4">
        <w:rPr>
          <w:lang w:val="en-GB"/>
        </w:rPr>
        <w:t xml:space="preserve"> members lack the incentive to retain profit</w:t>
      </w:r>
      <w:r w:rsidR="00FE2600" w:rsidRPr="00D51EF4">
        <w:rPr>
          <w:lang w:val="en-GB"/>
        </w:rPr>
        <w:t>s</w:t>
      </w:r>
      <w:r w:rsidR="0061405A" w:rsidRPr="00D51EF4">
        <w:rPr>
          <w:lang w:val="en-GB"/>
        </w:rPr>
        <w:t xml:space="preserve"> for future growth</w:t>
      </w:r>
      <w:r w:rsidR="00D06070" w:rsidRPr="00D51EF4">
        <w:rPr>
          <w:lang w:val="en-GB"/>
        </w:rPr>
        <w:t xml:space="preserve"> because</w:t>
      </w:r>
      <w:r w:rsidR="0061405A" w:rsidRPr="00D51EF4">
        <w:rPr>
          <w:lang w:val="en-GB"/>
        </w:rPr>
        <w:t xml:space="preserve"> </w:t>
      </w:r>
      <w:r w:rsidR="00FE2600" w:rsidRPr="00D51EF4">
        <w:rPr>
          <w:lang w:val="en-GB"/>
        </w:rPr>
        <w:t>growth leads to</w:t>
      </w:r>
      <w:r w:rsidR="0061405A" w:rsidRPr="00D51EF4">
        <w:rPr>
          <w:lang w:val="en-GB"/>
        </w:rPr>
        <w:t xml:space="preserve"> the risk that some key actors </w:t>
      </w:r>
      <w:r w:rsidR="00FE2600" w:rsidRPr="00D51EF4">
        <w:rPr>
          <w:lang w:val="en-GB"/>
        </w:rPr>
        <w:lastRenderedPageBreak/>
        <w:t xml:space="preserve">can </w:t>
      </w:r>
      <w:r w:rsidR="0061405A" w:rsidRPr="00D51EF4">
        <w:rPr>
          <w:lang w:val="en-GB"/>
        </w:rPr>
        <w:t xml:space="preserve">take advantage of the organisation at the </w:t>
      </w:r>
      <w:r w:rsidR="00FE2600" w:rsidRPr="00D51EF4">
        <w:rPr>
          <w:lang w:val="en-GB"/>
        </w:rPr>
        <w:t xml:space="preserve">expense of the </w:t>
      </w:r>
      <w:r w:rsidR="0061405A" w:rsidRPr="00D51EF4">
        <w:rPr>
          <w:lang w:val="en-GB"/>
        </w:rPr>
        <w:t>other members (Per</w:t>
      </w:r>
      <w:r w:rsidR="00980134" w:rsidRPr="00D51EF4">
        <w:rPr>
          <w:lang w:val="en-GB"/>
        </w:rPr>
        <w:t>illeux et al.</w:t>
      </w:r>
      <w:r w:rsidR="0061405A" w:rsidRPr="00D51EF4">
        <w:rPr>
          <w:lang w:val="en-GB"/>
        </w:rPr>
        <w:t xml:space="preserve"> 2012). </w:t>
      </w:r>
      <w:r w:rsidR="00FE2600" w:rsidRPr="00D51EF4">
        <w:rPr>
          <w:lang w:val="en-GB"/>
        </w:rPr>
        <w:t xml:space="preserve">This </w:t>
      </w:r>
      <w:r w:rsidR="00213181" w:rsidRPr="00D51EF4">
        <w:rPr>
          <w:lang w:val="en-GB"/>
        </w:rPr>
        <w:t xml:space="preserve">final empirical analysis illustrates that there may be large differences in </w:t>
      </w:r>
      <w:r w:rsidR="000F7962">
        <w:rPr>
          <w:lang w:val="en-GB"/>
        </w:rPr>
        <w:t xml:space="preserve">earnings quality within the </w:t>
      </w:r>
      <w:proofErr w:type="spellStart"/>
      <w:r w:rsidR="000F7962">
        <w:rPr>
          <w:lang w:val="en-GB"/>
        </w:rPr>
        <w:t>non</w:t>
      </w:r>
      <w:r w:rsidR="00213181" w:rsidRPr="00D51EF4">
        <w:rPr>
          <w:lang w:val="en-GB"/>
        </w:rPr>
        <w:t>profit</w:t>
      </w:r>
      <w:proofErr w:type="spellEnd"/>
      <w:r w:rsidR="00213181" w:rsidRPr="00D51EF4">
        <w:rPr>
          <w:lang w:val="en-GB"/>
        </w:rPr>
        <w:t xml:space="preserve"> sector; </w:t>
      </w:r>
      <w:r w:rsidR="00FE2600" w:rsidRPr="00D51EF4">
        <w:rPr>
          <w:lang w:val="en-GB"/>
        </w:rPr>
        <w:t xml:space="preserve">these </w:t>
      </w:r>
      <w:r w:rsidR="00213181" w:rsidRPr="00D51EF4">
        <w:rPr>
          <w:lang w:val="en-GB"/>
        </w:rPr>
        <w:t xml:space="preserve">differences are likely caused by </w:t>
      </w:r>
      <w:r w:rsidR="007A49D9" w:rsidRPr="00D51EF4">
        <w:rPr>
          <w:lang w:val="en-GB"/>
        </w:rPr>
        <w:t>differing</w:t>
      </w:r>
      <w:r w:rsidR="00213181" w:rsidRPr="00D51EF4">
        <w:rPr>
          <w:lang w:val="en-GB"/>
        </w:rPr>
        <w:t xml:space="preserve"> incentives or governance structures.</w:t>
      </w:r>
    </w:p>
    <w:p w14:paraId="5FC045D9" w14:textId="77777777" w:rsidR="00E13BEB" w:rsidRPr="00D51EF4" w:rsidRDefault="00E13BEB" w:rsidP="00F65B35">
      <w:pPr>
        <w:spacing w:line="480" w:lineRule="auto"/>
        <w:jc w:val="both"/>
        <w:rPr>
          <w:lang w:val="en-GB"/>
        </w:rPr>
      </w:pPr>
    </w:p>
    <w:p w14:paraId="6E448E2A" w14:textId="77777777" w:rsidR="00F86418" w:rsidRPr="00D51EF4" w:rsidRDefault="00B34A9C" w:rsidP="00F65B35">
      <w:pPr>
        <w:spacing w:line="480" w:lineRule="auto"/>
        <w:jc w:val="both"/>
        <w:rPr>
          <w:b/>
          <w:lang w:val="en-GB"/>
        </w:rPr>
      </w:pPr>
      <w:r w:rsidRPr="00D51EF4">
        <w:rPr>
          <w:b/>
          <w:lang w:val="en-GB"/>
        </w:rPr>
        <w:t xml:space="preserve">5. </w:t>
      </w:r>
      <w:r w:rsidR="00F86418" w:rsidRPr="00D51EF4">
        <w:rPr>
          <w:b/>
          <w:lang w:val="en-GB"/>
        </w:rPr>
        <w:t>Conclusion</w:t>
      </w:r>
    </w:p>
    <w:p w14:paraId="570ED685" w14:textId="5EBB73FB" w:rsidR="002E7D56" w:rsidRPr="00D51EF4" w:rsidRDefault="00B34A9C" w:rsidP="00F65B35">
      <w:pPr>
        <w:spacing w:line="480" w:lineRule="auto"/>
        <w:jc w:val="both"/>
        <w:rPr>
          <w:lang w:val="en-GB"/>
        </w:rPr>
      </w:pPr>
      <w:r w:rsidRPr="00D51EF4">
        <w:rPr>
          <w:lang w:val="en-GB"/>
        </w:rPr>
        <w:t xml:space="preserve">This study </w:t>
      </w:r>
      <w:r w:rsidR="00331EEF" w:rsidRPr="00D51EF4">
        <w:rPr>
          <w:lang w:val="en-GB"/>
        </w:rPr>
        <w:t xml:space="preserve">uses </w:t>
      </w:r>
      <w:r w:rsidRPr="00D51EF4">
        <w:rPr>
          <w:lang w:val="en-GB"/>
        </w:rPr>
        <w:t xml:space="preserve">a sample of microfinance institutions </w:t>
      </w:r>
      <w:r w:rsidR="00461E80" w:rsidRPr="00D51EF4">
        <w:rPr>
          <w:lang w:val="en-GB"/>
        </w:rPr>
        <w:t xml:space="preserve">to </w:t>
      </w:r>
      <w:r w:rsidR="00664513" w:rsidRPr="00D51EF4">
        <w:rPr>
          <w:lang w:val="en-GB"/>
        </w:rPr>
        <w:t xml:space="preserve">study earnings quality differences between for-profit and </w:t>
      </w:r>
      <w:proofErr w:type="spellStart"/>
      <w:r w:rsidR="00664513" w:rsidRPr="00D51EF4">
        <w:rPr>
          <w:lang w:val="en-GB"/>
        </w:rPr>
        <w:t>nonprofi</w:t>
      </w:r>
      <w:r w:rsidR="00367474" w:rsidRPr="00D51EF4">
        <w:rPr>
          <w:lang w:val="en-GB"/>
        </w:rPr>
        <w:t>t</w:t>
      </w:r>
      <w:proofErr w:type="spellEnd"/>
      <w:r w:rsidR="00367474" w:rsidRPr="00D51EF4">
        <w:rPr>
          <w:lang w:val="en-GB"/>
        </w:rPr>
        <w:t xml:space="preserve"> organi</w:t>
      </w:r>
      <w:r w:rsidR="00D411BD" w:rsidRPr="00D51EF4">
        <w:rPr>
          <w:lang w:val="en-GB"/>
        </w:rPr>
        <w:t>s</w:t>
      </w:r>
      <w:r w:rsidR="00367474" w:rsidRPr="00D51EF4">
        <w:rPr>
          <w:lang w:val="en-GB"/>
        </w:rPr>
        <w:t xml:space="preserve">ations. </w:t>
      </w:r>
      <w:r w:rsidR="00403B34" w:rsidRPr="00D51EF4">
        <w:rPr>
          <w:lang w:val="en-GB"/>
        </w:rPr>
        <w:t xml:space="preserve">It </w:t>
      </w:r>
      <w:proofErr w:type="gramStart"/>
      <w:r w:rsidR="00403B34" w:rsidRPr="00D51EF4">
        <w:rPr>
          <w:lang w:val="en-GB"/>
        </w:rPr>
        <w:t>is commonly believed</w:t>
      </w:r>
      <w:proofErr w:type="gramEnd"/>
      <w:r w:rsidR="00403B34" w:rsidRPr="00D51EF4">
        <w:rPr>
          <w:lang w:val="en-GB"/>
        </w:rPr>
        <w:t xml:space="preserve"> </w:t>
      </w:r>
      <w:r w:rsidR="00C162C3" w:rsidRPr="00D51EF4">
        <w:rPr>
          <w:lang w:val="en-GB"/>
        </w:rPr>
        <w:t xml:space="preserve">that financial reporting </w:t>
      </w:r>
      <w:r w:rsidR="00403B34" w:rsidRPr="00D51EF4">
        <w:rPr>
          <w:lang w:val="en-GB"/>
        </w:rPr>
        <w:t xml:space="preserve">is more challenging for </w:t>
      </w:r>
      <w:proofErr w:type="spellStart"/>
      <w:r w:rsidR="007E19BE" w:rsidRPr="00D51EF4">
        <w:rPr>
          <w:lang w:val="en-GB"/>
        </w:rPr>
        <w:t>nonprofit</w:t>
      </w:r>
      <w:proofErr w:type="spellEnd"/>
      <w:r w:rsidR="007E19BE" w:rsidRPr="00D51EF4">
        <w:rPr>
          <w:lang w:val="en-GB"/>
        </w:rPr>
        <w:t xml:space="preserve"> organisations </w:t>
      </w:r>
      <w:r w:rsidR="00980134" w:rsidRPr="00D51EF4">
        <w:rPr>
          <w:lang w:val="en-GB"/>
        </w:rPr>
        <w:t>(cf. Manos and Yaron</w:t>
      </w:r>
      <w:r w:rsidR="007E19BE" w:rsidRPr="00D51EF4">
        <w:rPr>
          <w:lang w:val="en-GB"/>
        </w:rPr>
        <w:t xml:space="preserve"> 2009; </w:t>
      </w:r>
      <w:r w:rsidR="00980134" w:rsidRPr="00D51EF4">
        <w:rPr>
          <w:lang w:val="en-GB"/>
        </w:rPr>
        <w:t>Pinnuck and Potter</w:t>
      </w:r>
      <w:r w:rsidR="007E19BE" w:rsidRPr="00D51EF4">
        <w:rPr>
          <w:lang w:val="en-GB"/>
        </w:rPr>
        <w:t xml:space="preserve"> 2009), </w:t>
      </w:r>
      <w:r w:rsidR="00403B34" w:rsidRPr="00D51EF4">
        <w:rPr>
          <w:lang w:val="en-GB"/>
        </w:rPr>
        <w:t xml:space="preserve">which causes </w:t>
      </w:r>
      <w:r w:rsidR="007E19BE" w:rsidRPr="00D51EF4">
        <w:rPr>
          <w:lang w:val="en-GB"/>
        </w:rPr>
        <w:t xml:space="preserve">the financial reporting of such entities </w:t>
      </w:r>
      <w:r w:rsidR="00403B34" w:rsidRPr="00D51EF4">
        <w:rPr>
          <w:lang w:val="en-GB"/>
        </w:rPr>
        <w:t xml:space="preserve">to </w:t>
      </w:r>
      <w:r w:rsidR="007E19BE" w:rsidRPr="00D51EF4">
        <w:rPr>
          <w:lang w:val="en-GB"/>
        </w:rPr>
        <w:t>be less trustworth</w:t>
      </w:r>
      <w:r w:rsidR="00403B34" w:rsidRPr="00D51EF4">
        <w:rPr>
          <w:lang w:val="en-GB"/>
        </w:rPr>
        <w:t>y</w:t>
      </w:r>
      <w:r w:rsidR="007E19BE" w:rsidRPr="00D51EF4">
        <w:rPr>
          <w:lang w:val="en-GB"/>
        </w:rPr>
        <w:t xml:space="preserve">, </w:t>
      </w:r>
      <w:r w:rsidR="00403B34" w:rsidRPr="00D51EF4">
        <w:rPr>
          <w:lang w:val="en-GB"/>
        </w:rPr>
        <w:t xml:space="preserve">less </w:t>
      </w:r>
      <w:r w:rsidR="007E19BE" w:rsidRPr="00D51EF4">
        <w:rPr>
          <w:lang w:val="en-GB"/>
        </w:rPr>
        <w:t xml:space="preserve">useful and </w:t>
      </w:r>
      <w:r w:rsidR="00403B34" w:rsidRPr="00D51EF4">
        <w:rPr>
          <w:lang w:val="en-GB"/>
        </w:rPr>
        <w:t>less relevant</w:t>
      </w:r>
      <w:r w:rsidR="007E19BE" w:rsidRPr="00D51EF4">
        <w:rPr>
          <w:lang w:val="en-GB"/>
        </w:rPr>
        <w:t xml:space="preserve">. However, in this study, we are unable </w:t>
      </w:r>
      <w:proofErr w:type="gramStart"/>
      <w:r w:rsidR="007E19BE" w:rsidRPr="00D51EF4">
        <w:rPr>
          <w:lang w:val="en-GB"/>
        </w:rPr>
        <w:t>to statistically document</w:t>
      </w:r>
      <w:proofErr w:type="gramEnd"/>
      <w:r w:rsidR="007E19BE" w:rsidRPr="00D51EF4">
        <w:rPr>
          <w:lang w:val="en-GB"/>
        </w:rPr>
        <w:t xml:space="preserve"> any earnings quality differences between </w:t>
      </w:r>
      <w:r w:rsidR="00FD0EEF" w:rsidRPr="00D51EF4">
        <w:rPr>
          <w:lang w:val="en-GB"/>
        </w:rPr>
        <w:t>the</w:t>
      </w:r>
      <w:r w:rsidR="007E19BE" w:rsidRPr="00D51EF4">
        <w:rPr>
          <w:lang w:val="en-GB"/>
        </w:rPr>
        <w:t xml:space="preserve"> </w:t>
      </w:r>
      <w:r w:rsidR="00A13B47" w:rsidRPr="00D51EF4">
        <w:rPr>
          <w:lang w:val="en-GB"/>
        </w:rPr>
        <w:t xml:space="preserve">for-profit and </w:t>
      </w:r>
      <w:proofErr w:type="spellStart"/>
      <w:r w:rsidR="00A13B47" w:rsidRPr="00D51EF4">
        <w:rPr>
          <w:lang w:val="en-GB"/>
        </w:rPr>
        <w:t>nonprofit</w:t>
      </w:r>
      <w:proofErr w:type="spellEnd"/>
      <w:r w:rsidR="00A13B47" w:rsidRPr="00D51EF4">
        <w:rPr>
          <w:lang w:val="en-GB"/>
        </w:rPr>
        <w:t xml:space="preserve"> </w:t>
      </w:r>
      <w:r w:rsidR="007E19BE" w:rsidRPr="00D51EF4">
        <w:rPr>
          <w:lang w:val="en-GB"/>
        </w:rPr>
        <w:t xml:space="preserve">organisations. </w:t>
      </w:r>
    </w:p>
    <w:p w14:paraId="6F48907E" w14:textId="77777777" w:rsidR="002E7D56" w:rsidRPr="00D51EF4" w:rsidRDefault="002E7D56" w:rsidP="00F65B35">
      <w:pPr>
        <w:spacing w:line="480" w:lineRule="auto"/>
        <w:jc w:val="both"/>
        <w:rPr>
          <w:lang w:val="en-GB"/>
        </w:rPr>
      </w:pPr>
    </w:p>
    <w:p w14:paraId="4DDC2C5B" w14:textId="0E7722F5" w:rsidR="00367474" w:rsidRPr="00D51EF4" w:rsidRDefault="002E7D56" w:rsidP="00F65B35">
      <w:pPr>
        <w:spacing w:line="480" w:lineRule="auto"/>
        <w:jc w:val="both"/>
        <w:rPr>
          <w:lang w:val="en-GB"/>
        </w:rPr>
      </w:pPr>
      <w:r w:rsidRPr="00D51EF4">
        <w:rPr>
          <w:lang w:val="en-GB"/>
        </w:rPr>
        <w:t xml:space="preserve">The findings </w:t>
      </w:r>
      <w:proofErr w:type="gramStart"/>
      <w:r w:rsidRPr="00D51EF4">
        <w:rPr>
          <w:lang w:val="en-GB"/>
        </w:rPr>
        <w:t>may be related</w:t>
      </w:r>
      <w:proofErr w:type="gramEnd"/>
      <w:r w:rsidRPr="00D51EF4">
        <w:rPr>
          <w:lang w:val="en-GB"/>
        </w:rPr>
        <w:t xml:space="preserve"> to two forces working in opposite direction</w:t>
      </w:r>
      <w:r w:rsidR="00403B34" w:rsidRPr="00D51EF4">
        <w:rPr>
          <w:lang w:val="en-GB"/>
        </w:rPr>
        <w:t>s</w:t>
      </w:r>
      <w:r w:rsidRPr="00D51EF4">
        <w:rPr>
          <w:lang w:val="en-GB"/>
        </w:rPr>
        <w:t xml:space="preserve">. </w:t>
      </w:r>
      <w:r w:rsidR="00403B34" w:rsidRPr="00D51EF4">
        <w:rPr>
          <w:lang w:val="en-GB"/>
        </w:rPr>
        <w:t xml:space="preserve">According to </w:t>
      </w:r>
      <w:r w:rsidRPr="00D51EF4">
        <w:rPr>
          <w:lang w:val="en-GB"/>
        </w:rPr>
        <w:t>the “demand hypothesis”</w:t>
      </w:r>
      <w:r w:rsidR="00980134" w:rsidRPr="00D51EF4">
        <w:rPr>
          <w:lang w:val="en-GB"/>
        </w:rPr>
        <w:t xml:space="preserve"> (Givoly et al.</w:t>
      </w:r>
      <w:r w:rsidR="001E6460" w:rsidRPr="00D51EF4">
        <w:rPr>
          <w:lang w:val="en-GB"/>
        </w:rPr>
        <w:t xml:space="preserve"> 2010)</w:t>
      </w:r>
      <w:r w:rsidR="00403B34" w:rsidRPr="00D51EF4">
        <w:rPr>
          <w:lang w:val="en-GB"/>
        </w:rPr>
        <w:t>,</w:t>
      </w:r>
      <w:r w:rsidRPr="00D51EF4">
        <w:rPr>
          <w:lang w:val="en-GB"/>
        </w:rPr>
        <w:t xml:space="preserve"> </w:t>
      </w:r>
      <w:r w:rsidR="00367474" w:rsidRPr="00D51EF4">
        <w:rPr>
          <w:lang w:val="en-GB"/>
        </w:rPr>
        <w:t xml:space="preserve">earnings quality is largest for </w:t>
      </w:r>
      <w:r w:rsidR="008B7431" w:rsidRPr="00D51EF4">
        <w:rPr>
          <w:lang w:val="en-GB"/>
        </w:rPr>
        <w:t>for-</w:t>
      </w:r>
      <w:r w:rsidR="00367474" w:rsidRPr="00D51EF4">
        <w:rPr>
          <w:lang w:val="en-GB"/>
        </w:rPr>
        <w:t>profit organi</w:t>
      </w:r>
      <w:r w:rsidR="00D411BD" w:rsidRPr="00D51EF4">
        <w:rPr>
          <w:lang w:val="en-GB"/>
        </w:rPr>
        <w:t>s</w:t>
      </w:r>
      <w:r w:rsidR="00367474" w:rsidRPr="00D51EF4">
        <w:rPr>
          <w:lang w:val="en-GB"/>
        </w:rPr>
        <w:t>ations simply because the demand for earnings quality is largest</w:t>
      </w:r>
      <w:r w:rsidR="00621501" w:rsidRPr="00D51EF4">
        <w:rPr>
          <w:lang w:val="en-GB"/>
        </w:rPr>
        <w:t xml:space="preserve"> in this sub-sample</w:t>
      </w:r>
      <w:r w:rsidR="00367474" w:rsidRPr="00D51EF4">
        <w:rPr>
          <w:lang w:val="en-GB"/>
        </w:rPr>
        <w:t xml:space="preserve">. </w:t>
      </w:r>
      <w:r w:rsidR="00D77620" w:rsidRPr="00D51EF4">
        <w:rPr>
          <w:lang w:val="en-GB"/>
        </w:rPr>
        <w:t xml:space="preserve">Moreover, because governance mechanisms are determinants of earnings quality (Francis et al. 2008), stronger governance structures in for-profit </w:t>
      </w:r>
      <w:r w:rsidRPr="00D51EF4">
        <w:rPr>
          <w:lang w:val="en-GB"/>
        </w:rPr>
        <w:t xml:space="preserve">organisations </w:t>
      </w:r>
      <w:r w:rsidR="00D77620" w:rsidRPr="00D51EF4">
        <w:rPr>
          <w:lang w:val="en-GB"/>
        </w:rPr>
        <w:t xml:space="preserve">compared </w:t>
      </w:r>
      <w:r w:rsidR="00403B34" w:rsidRPr="00D51EF4">
        <w:rPr>
          <w:lang w:val="en-GB"/>
        </w:rPr>
        <w:t>with</w:t>
      </w:r>
      <w:r w:rsidR="00D77620" w:rsidRPr="00D51EF4">
        <w:rPr>
          <w:lang w:val="en-GB"/>
        </w:rPr>
        <w:t xml:space="preserve"> their </w:t>
      </w:r>
      <w:proofErr w:type="spellStart"/>
      <w:r w:rsidR="00D77620" w:rsidRPr="00D51EF4">
        <w:rPr>
          <w:lang w:val="en-GB"/>
        </w:rPr>
        <w:t>nonprofit</w:t>
      </w:r>
      <w:proofErr w:type="spellEnd"/>
      <w:r w:rsidR="00D77620" w:rsidRPr="00D51EF4">
        <w:rPr>
          <w:lang w:val="en-GB"/>
        </w:rPr>
        <w:t xml:space="preserve"> counterparts (</w:t>
      </w:r>
      <w:r w:rsidRPr="00D51EF4">
        <w:rPr>
          <w:lang w:val="en-GB"/>
        </w:rPr>
        <w:t xml:space="preserve">cf. </w:t>
      </w:r>
      <w:r w:rsidR="00D77620" w:rsidRPr="00D51EF4">
        <w:rPr>
          <w:lang w:val="en-GB"/>
        </w:rPr>
        <w:t xml:space="preserve">Galema et al. </w:t>
      </w:r>
      <w:r w:rsidR="00502793" w:rsidRPr="00D51EF4">
        <w:rPr>
          <w:lang w:val="en-GB"/>
        </w:rPr>
        <w:t>2012</w:t>
      </w:r>
      <w:r w:rsidR="00D77620" w:rsidRPr="00D51EF4">
        <w:rPr>
          <w:lang w:val="en-GB"/>
        </w:rPr>
        <w:t>)</w:t>
      </w:r>
      <w:r w:rsidRPr="00D51EF4">
        <w:rPr>
          <w:lang w:val="en-GB"/>
        </w:rPr>
        <w:t xml:space="preserve"> may also improve earnings quality for the former sector. In contrast, </w:t>
      </w:r>
      <w:r w:rsidR="00403B34" w:rsidRPr="00D51EF4">
        <w:rPr>
          <w:lang w:val="en-GB"/>
        </w:rPr>
        <w:t xml:space="preserve">according to </w:t>
      </w:r>
      <w:r w:rsidRPr="00D51EF4">
        <w:rPr>
          <w:lang w:val="en-GB"/>
        </w:rPr>
        <w:t>the “opportunistic behaviour hypothesis”</w:t>
      </w:r>
      <w:r w:rsidR="00980134" w:rsidRPr="00D51EF4">
        <w:rPr>
          <w:lang w:val="en-GB"/>
        </w:rPr>
        <w:t xml:space="preserve"> (Givoly et al.</w:t>
      </w:r>
      <w:r w:rsidR="001E6460" w:rsidRPr="00D51EF4">
        <w:rPr>
          <w:lang w:val="en-GB"/>
        </w:rPr>
        <w:t xml:space="preserve"> 2010)</w:t>
      </w:r>
      <w:r w:rsidRPr="00D51EF4">
        <w:rPr>
          <w:lang w:val="en-GB"/>
        </w:rPr>
        <w:t xml:space="preserve">, strong pressure to reach performance thresholds </w:t>
      </w:r>
      <w:r w:rsidR="00403B34" w:rsidRPr="00D51EF4">
        <w:rPr>
          <w:lang w:val="en-GB"/>
        </w:rPr>
        <w:t>and</w:t>
      </w:r>
      <w:r w:rsidRPr="00D51EF4">
        <w:rPr>
          <w:lang w:val="en-GB"/>
        </w:rPr>
        <w:t xml:space="preserve"> performance</w:t>
      </w:r>
      <w:r w:rsidR="00403B34" w:rsidRPr="00D51EF4">
        <w:rPr>
          <w:lang w:val="en-GB"/>
        </w:rPr>
        <w:t>-</w:t>
      </w:r>
      <w:r w:rsidRPr="00D51EF4">
        <w:rPr>
          <w:lang w:val="en-GB"/>
        </w:rPr>
        <w:t>based incentive system</w:t>
      </w:r>
      <w:r w:rsidR="007E1DFC" w:rsidRPr="00D51EF4">
        <w:rPr>
          <w:lang w:val="en-GB"/>
        </w:rPr>
        <w:t>s</w:t>
      </w:r>
      <w:r w:rsidRPr="00D51EF4">
        <w:rPr>
          <w:lang w:val="en-GB"/>
        </w:rPr>
        <w:t xml:space="preserve"> may decrease earnings quality in the for-profit </w:t>
      </w:r>
      <w:r w:rsidR="00403B34" w:rsidRPr="00D51EF4">
        <w:rPr>
          <w:lang w:val="en-GB"/>
        </w:rPr>
        <w:t>sector compared with</w:t>
      </w:r>
      <w:r w:rsidRPr="00D51EF4">
        <w:rPr>
          <w:lang w:val="en-GB"/>
        </w:rPr>
        <w:t xml:space="preserve"> the </w:t>
      </w:r>
      <w:proofErr w:type="spellStart"/>
      <w:r w:rsidRPr="00D51EF4">
        <w:rPr>
          <w:lang w:val="en-GB"/>
        </w:rPr>
        <w:t>nonprofit</w:t>
      </w:r>
      <w:proofErr w:type="spellEnd"/>
      <w:r w:rsidRPr="00D51EF4">
        <w:rPr>
          <w:lang w:val="en-GB"/>
        </w:rPr>
        <w:t xml:space="preserve"> sector. </w:t>
      </w:r>
      <w:r w:rsidR="008D17E2" w:rsidRPr="00D51EF4">
        <w:rPr>
          <w:lang w:val="en-GB"/>
        </w:rPr>
        <w:t xml:space="preserve">Because we find significant differences in earnings quality </w:t>
      </w:r>
      <w:r w:rsidR="00403B34" w:rsidRPr="00D51EF4">
        <w:rPr>
          <w:lang w:val="en-GB"/>
        </w:rPr>
        <w:t xml:space="preserve">only </w:t>
      </w:r>
      <w:r w:rsidR="008D17E2" w:rsidRPr="00D51EF4">
        <w:rPr>
          <w:lang w:val="en-GB"/>
        </w:rPr>
        <w:t xml:space="preserve">for </w:t>
      </w:r>
      <w:r w:rsidR="00403B34" w:rsidRPr="00D51EF4">
        <w:rPr>
          <w:lang w:val="en-GB"/>
        </w:rPr>
        <w:t xml:space="preserve">a </w:t>
      </w:r>
      <w:r w:rsidR="008D17E2" w:rsidRPr="00D51EF4">
        <w:rPr>
          <w:lang w:val="en-GB"/>
        </w:rPr>
        <w:t>single earnings attribute (</w:t>
      </w:r>
      <w:r w:rsidR="00403B34" w:rsidRPr="00D51EF4">
        <w:rPr>
          <w:lang w:val="en-GB"/>
        </w:rPr>
        <w:t xml:space="preserve">the </w:t>
      </w:r>
      <w:r w:rsidR="008D17E2" w:rsidRPr="00D51EF4">
        <w:rPr>
          <w:lang w:val="en-GB"/>
        </w:rPr>
        <w:t>earnings predictability)</w:t>
      </w:r>
      <w:r w:rsidR="00403B34" w:rsidRPr="00D51EF4">
        <w:rPr>
          <w:lang w:val="en-GB"/>
        </w:rPr>
        <w:t>,</w:t>
      </w:r>
      <w:r w:rsidR="008D17E2" w:rsidRPr="00D51EF4">
        <w:rPr>
          <w:lang w:val="en-GB"/>
        </w:rPr>
        <w:t xml:space="preserve"> we </w:t>
      </w:r>
      <w:r w:rsidR="008D17E2" w:rsidRPr="00D51EF4">
        <w:rPr>
          <w:lang w:val="en-GB"/>
        </w:rPr>
        <w:lastRenderedPageBreak/>
        <w:t xml:space="preserve">propose that the </w:t>
      </w:r>
      <w:r w:rsidR="000D7397" w:rsidRPr="00D51EF4">
        <w:rPr>
          <w:lang w:val="en-GB"/>
        </w:rPr>
        <w:t>two effects cancel each other</w:t>
      </w:r>
      <w:r w:rsidR="00403B34" w:rsidRPr="00D51EF4">
        <w:rPr>
          <w:lang w:val="en-GB"/>
        </w:rPr>
        <w:t xml:space="preserve"> and thus</w:t>
      </w:r>
      <w:r w:rsidR="000D7397" w:rsidRPr="00D51EF4">
        <w:rPr>
          <w:lang w:val="en-GB"/>
        </w:rPr>
        <w:t xml:space="preserve"> lead to no or only minor differences in earnings quality </w:t>
      </w:r>
      <w:proofErr w:type="gramStart"/>
      <w:r w:rsidR="000D7397" w:rsidRPr="00D51EF4">
        <w:rPr>
          <w:lang w:val="en-GB"/>
        </w:rPr>
        <w:t>in the aggregate</w:t>
      </w:r>
      <w:proofErr w:type="gramEnd"/>
      <w:r w:rsidR="00403B34" w:rsidRPr="00D51EF4">
        <w:rPr>
          <w:lang w:val="en-GB"/>
        </w:rPr>
        <w:t>.</w:t>
      </w:r>
    </w:p>
    <w:p w14:paraId="129E7F32" w14:textId="77777777" w:rsidR="00E35A87" w:rsidRPr="00D51EF4" w:rsidRDefault="00E35A87" w:rsidP="00F65B35">
      <w:pPr>
        <w:spacing w:line="480" w:lineRule="auto"/>
        <w:jc w:val="both"/>
        <w:rPr>
          <w:lang w:val="en-GB"/>
        </w:rPr>
      </w:pPr>
    </w:p>
    <w:p w14:paraId="6582565C" w14:textId="61BE7810" w:rsidR="000452B7" w:rsidRPr="00D51EF4" w:rsidRDefault="001E6460" w:rsidP="00E460A8">
      <w:pPr>
        <w:spacing w:after="200" w:line="480" w:lineRule="auto"/>
        <w:jc w:val="both"/>
        <w:rPr>
          <w:b/>
          <w:lang w:val="en-GB"/>
        </w:rPr>
      </w:pPr>
      <w:r w:rsidRPr="00D51EF4">
        <w:rPr>
          <w:lang w:val="en-GB"/>
        </w:rPr>
        <w:t>Based on</w:t>
      </w:r>
      <w:r w:rsidR="00746061" w:rsidRPr="00D51EF4">
        <w:rPr>
          <w:lang w:val="en-GB"/>
        </w:rPr>
        <w:t xml:space="preserve"> </w:t>
      </w:r>
      <w:r w:rsidRPr="00D51EF4">
        <w:rPr>
          <w:lang w:val="en-GB"/>
        </w:rPr>
        <w:t>robustness test</w:t>
      </w:r>
      <w:r w:rsidR="00746061" w:rsidRPr="00D51EF4">
        <w:rPr>
          <w:lang w:val="en-GB"/>
        </w:rPr>
        <w:t>s</w:t>
      </w:r>
      <w:r w:rsidRPr="00D51EF4">
        <w:rPr>
          <w:lang w:val="en-GB"/>
        </w:rPr>
        <w:t xml:space="preserve"> </w:t>
      </w:r>
      <w:r w:rsidR="00403B34" w:rsidRPr="00D51EF4">
        <w:rPr>
          <w:lang w:val="en-GB"/>
        </w:rPr>
        <w:t xml:space="preserve">that </w:t>
      </w:r>
      <w:r w:rsidR="00AD3DF3" w:rsidRPr="00D51EF4">
        <w:rPr>
          <w:lang w:val="en-GB"/>
        </w:rPr>
        <w:t>suggest</w:t>
      </w:r>
      <w:r w:rsidRPr="00D51EF4">
        <w:rPr>
          <w:lang w:val="en-GB"/>
        </w:rPr>
        <w:t xml:space="preserve"> that there might be intra-sample differences </w:t>
      </w:r>
      <w:r w:rsidR="00267923" w:rsidRPr="00D51EF4">
        <w:rPr>
          <w:lang w:val="en-GB"/>
        </w:rPr>
        <w:t>with</w:t>
      </w:r>
      <w:r w:rsidR="00A83608">
        <w:rPr>
          <w:lang w:val="en-GB"/>
        </w:rPr>
        <w:t xml:space="preserve">in the </w:t>
      </w:r>
      <w:proofErr w:type="spellStart"/>
      <w:r w:rsidR="00A83608">
        <w:rPr>
          <w:lang w:val="en-GB"/>
        </w:rPr>
        <w:t>non</w:t>
      </w:r>
      <w:r w:rsidRPr="00D51EF4">
        <w:rPr>
          <w:lang w:val="en-GB"/>
        </w:rPr>
        <w:t>profit</w:t>
      </w:r>
      <w:proofErr w:type="spellEnd"/>
      <w:r w:rsidRPr="00D51EF4">
        <w:rPr>
          <w:lang w:val="en-GB"/>
        </w:rPr>
        <w:t xml:space="preserve"> sector, we </w:t>
      </w:r>
      <w:r w:rsidR="00A83608">
        <w:rPr>
          <w:lang w:val="en-GB"/>
        </w:rPr>
        <w:t xml:space="preserve">split the </w:t>
      </w:r>
      <w:proofErr w:type="spellStart"/>
      <w:r w:rsidR="00A83608">
        <w:rPr>
          <w:lang w:val="en-GB"/>
        </w:rPr>
        <w:t>non</w:t>
      </w:r>
      <w:r w:rsidR="00AD3DF3" w:rsidRPr="00D51EF4">
        <w:rPr>
          <w:lang w:val="en-GB"/>
        </w:rPr>
        <w:t>profit</w:t>
      </w:r>
      <w:proofErr w:type="spellEnd"/>
      <w:r w:rsidR="00AD3DF3" w:rsidRPr="00D51EF4">
        <w:rPr>
          <w:lang w:val="en-GB"/>
        </w:rPr>
        <w:t xml:space="preserve"> sample and </w:t>
      </w:r>
      <w:r w:rsidR="00403B34" w:rsidRPr="00D51EF4">
        <w:rPr>
          <w:lang w:val="en-GB"/>
        </w:rPr>
        <w:t xml:space="preserve">demonstrate </w:t>
      </w:r>
      <w:r w:rsidRPr="00D51EF4">
        <w:rPr>
          <w:lang w:val="en-GB"/>
        </w:rPr>
        <w:t xml:space="preserve">that the NGOs of our sample have higher earnings quality than the cooperatives and credit unions. The latter </w:t>
      </w:r>
      <w:r w:rsidR="00403B34" w:rsidRPr="00D51EF4">
        <w:rPr>
          <w:lang w:val="en-GB"/>
        </w:rPr>
        <w:t xml:space="preserve">types of </w:t>
      </w:r>
      <w:r w:rsidRPr="00D51EF4">
        <w:rPr>
          <w:lang w:val="en-GB"/>
        </w:rPr>
        <w:t>MFI</w:t>
      </w:r>
      <w:r w:rsidR="00403B34" w:rsidRPr="00D51EF4">
        <w:rPr>
          <w:lang w:val="en-GB"/>
        </w:rPr>
        <w:t xml:space="preserve">s </w:t>
      </w:r>
      <w:r w:rsidRPr="00D51EF4">
        <w:rPr>
          <w:lang w:val="en-GB"/>
        </w:rPr>
        <w:t xml:space="preserve">seem to publish financial reports </w:t>
      </w:r>
      <w:r w:rsidR="00403B34" w:rsidRPr="00D51EF4">
        <w:rPr>
          <w:lang w:val="en-GB"/>
        </w:rPr>
        <w:t xml:space="preserve">that </w:t>
      </w:r>
      <w:proofErr w:type="gramStart"/>
      <w:r w:rsidR="00403B34" w:rsidRPr="00D51EF4">
        <w:rPr>
          <w:lang w:val="en-GB"/>
        </w:rPr>
        <w:t xml:space="preserve">are </w:t>
      </w:r>
      <w:r w:rsidRPr="00D51EF4">
        <w:rPr>
          <w:lang w:val="en-GB"/>
        </w:rPr>
        <w:t>more contaminated</w:t>
      </w:r>
      <w:proofErr w:type="gramEnd"/>
      <w:r w:rsidRPr="00D51EF4">
        <w:rPr>
          <w:lang w:val="en-GB"/>
        </w:rPr>
        <w:t xml:space="preserve"> by earnings management. This finding </w:t>
      </w:r>
      <w:r w:rsidR="00232FEB" w:rsidRPr="00D51EF4">
        <w:rPr>
          <w:lang w:val="en-GB"/>
        </w:rPr>
        <w:t xml:space="preserve">suggests </w:t>
      </w:r>
      <w:r w:rsidRPr="00D51EF4">
        <w:rPr>
          <w:lang w:val="en-GB"/>
        </w:rPr>
        <w:t xml:space="preserve">that </w:t>
      </w:r>
      <w:r w:rsidR="00CE6A0B" w:rsidRPr="00D51EF4">
        <w:rPr>
          <w:lang w:val="en-GB"/>
        </w:rPr>
        <w:t xml:space="preserve">there may be significant differences within the </w:t>
      </w:r>
      <w:proofErr w:type="spellStart"/>
      <w:r w:rsidR="00CE6A0B" w:rsidRPr="00D51EF4">
        <w:rPr>
          <w:lang w:val="en-GB"/>
        </w:rPr>
        <w:t>nonprofit</w:t>
      </w:r>
      <w:proofErr w:type="spellEnd"/>
      <w:r w:rsidR="00CE6A0B" w:rsidRPr="00D51EF4">
        <w:rPr>
          <w:lang w:val="en-GB"/>
        </w:rPr>
        <w:t xml:space="preserve"> community, </w:t>
      </w:r>
      <w:r w:rsidR="00232FEB" w:rsidRPr="00D51EF4">
        <w:rPr>
          <w:lang w:val="en-GB"/>
        </w:rPr>
        <w:t xml:space="preserve">which </w:t>
      </w:r>
      <w:proofErr w:type="gramStart"/>
      <w:r w:rsidR="00232FEB" w:rsidRPr="00D51EF4">
        <w:rPr>
          <w:lang w:val="en-GB"/>
        </w:rPr>
        <w:t>are likely caused</w:t>
      </w:r>
      <w:proofErr w:type="gramEnd"/>
      <w:r w:rsidR="00CE6A0B" w:rsidRPr="00D51EF4">
        <w:rPr>
          <w:lang w:val="en-GB"/>
        </w:rPr>
        <w:t xml:space="preserve"> by differences in incentives and governance structures. Overall, there is a need for substantially more research </w:t>
      </w:r>
      <w:r w:rsidR="00232FEB" w:rsidRPr="00D51EF4">
        <w:rPr>
          <w:lang w:val="en-GB"/>
        </w:rPr>
        <w:t>about</w:t>
      </w:r>
      <w:r w:rsidR="00CE6A0B" w:rsidRPr="00D51EF4">
        <w:rPr>
          <w:lang w:val="en-GB"/>
        </w:rPr>
        <w:t xml:space="preserve"> the quality of financial reporting in the </w:t>
      </w:r>
      <w:proofErr w:type="spellStart"/>
      <w:r w:rsidR="00CE6A0B" w:rsidRPr="00D51EF4">
        <w:rPr>
          <w:lang w:val="en-GB"/>
        </w:rPr>
        <w:t>nonprofit</w:t>
      </w:r>
      <w:proofErr w:type="spellEnd"/>
      <w:r w:rsidR="00CE6A0B" w:rsidRPr="00D51EF4">
        <w:rPr>
          <w:lang w:val="en-GB"/>
        </w:rPr>
        <w:t xml:space="preserve"> sector. A possible fruitful avenue for future research could be to identify situations in which earnings management may be more likely for a specific group of </w:t>
      </w:r>
      <w:proofErr w:type="spellStart"/>
      <w:r w:rsidR="00CE6A0B" w:rsidRPr="00D51EF4">
        <w:rPr>
          <w:lang w:val="en-GB"/>
        </w:rPr>
        <w:t>nonprofit</w:t>
      </w:r>
      <w:proofErr w:type="spellEnd"/>
      <w:r w:rsidR="00CE6A0B" w:rsidRPr="00D51EF4">
        <w:rPr>
          <w:lang w:val="en-GB"/>
        </w:rPr>
        <w:t xml:space="preserve"> entities and then </w:t>
      </w:r>
      <w:r w:rsidR="00232FEB" w:rsidRPr="00D51EF4">
        <w:rPr>
          <w:lang w:val="en-GB"/>
        </w:rPr>
        <w:t xml:space="preserve">to </w:t>
      </w:r>
      <w:r w:rsidR="00CE6A0B" w:rsidRPr="00D51EF4">
        <w:rPr>
          <w:lang w:val="en-GB"/>
        </w:rPr>
        <w:t xml:space="preserve">compare the earnings quality of this group with a control group not affected by the situation </w:t>
      </w:r>
      <w:r w:rsidR="00232FEB" w:rsidRPr="00D51EF4">
        <w:rPr>
          <w:lang w:val="en-GB"/>
        </w:rPr>
        <w:t>identified</w:t>
      </w:r>
      <w:r w:rsidR="00CE6A0B" w:rsidRPr="00D51EF4">
        <w:rPr>
          <w:lang w:val="en-GB"/>
        </w:rPr>
        <w:t xml:space="preserve">. Another approach, based on the contention that earnings quality </w:t>
      </w:r>
      <w:r w:rsidR="00232FEB" w:rsidRPr="00D51EF4">
        <w:rPr>
          <w:lang w:val="en-GB"/>
        </w:rPr>
        <w:t>depends on the</w:t>
      </w:r>
      <w:r w:rsidR="00CE6A0B" w:rsidRPr="00D51EF4">
        <w:rPr>
          <w:lang w:val="en-GB"/>
        </w:rPr>
        <w:t xml:space="preserve"> earnings numbers’ ability to forecast future financial performance, could be to apply more advanced time-series techniques to study earnings persistence and predictability. </w:t>
      </w:r>
      <w:r w:rsidR="00746061" w:rsidRPr="00D51EF4">
        <w:rPr>
          <w:lang w:val="en-GB"/>
        </w:rPr>
        <w:t xml:space="preserve">Because the microfinance industry includes both for-profit and </w:t>
      </w:r>
      <w:proofErr w:type="spellStart"/>
      <w:r w:rsidR="00746061" w:rsidRPr="00D51EF4">
        <w:rPr>
          <w:lang w:val="en-GB"/>
        </w:rPr>
        <w:t>nonprofit</w:t>
      </w:r>
      <w:proofErr w:type="spellEnd"/>
      <w:r w:rsidR="00746061" w:rsidRPr="00D51EF4">
        <w:rPr>
          <w:lang w:val="en-GB"/>
        </w:rPr>
        <w:t xml:space="preserve"> organisations, as well as different organisation types within the latter category, the industry provides an excellent </w:t>
      </w:r>
      <w:r w:rsidR="00F9693D" w:rsidRPr="00D51EF4">
        <w:rPr>
          <w:lang w:val="en-GB"/>
        </w:rPr>
        <w:t xml:space="preserve">sample </w:t>
      </w:r>
      <w:r w:rsidR="00746061" w:rsidRPr="00D51EF4">
        <w:rPr>
          <w:lang w:val="en-GB"/>
        </w:rPr>
        <w:t>for future studies o</w:t>
      </w:r>
      <w:r w:rsidR="00232FEB" w:rsidRPr="00D51EF4">
        <w:rPr>
          <w:lang w:val="en-GB"/>
        </w:rPr>
        <w:t>f</w:t>
      </w:r>
      <w:r w:rsidR="00746061" w:rsidRPr="00D51EF4">
        <w:rPr>
          <w:lang w:val="en-GB"/>
        </w:rPr>
        <w:t xml:space="preserve"> differences in earnings quality. </w:t>
      </w:r>
      <w:r w:rsidR="000452B7" w:rsidRPr="00D51EF4">
        <w:rPr>
          <w:b/>
          <w:lang w:val="en-GB"/>
        </w:rPr>
        <w:br w:type="page"/>
      </w:r>
    </w:p>
    <w:p w14:paraId="54380646" w14:textId="77777777" w:rsidR="006A65A1" w:rsidRPr="00953EFF" w:rsidRDefault="006A65A1" w:rsidP="006A65A1">
      <w:pPr>
        <w:spacing w:line="480" w:lineRule="auto"/>
        <w:jc w:val="both"/>
        <w:rPr>
          <w:b/>
        </w:rPr>
      </w:pPr>
      <w:proofErr w:type="spellStart"/>
      <w:r w:rsidRPr="00953EFF">
        <w:rPr>
          <w:b/>
        </w:rPr>
        <w:lastRenderedPageBreak/>
        <w:t>Literature</w:t>
      </w:r>
      <w:proofErr w:type="spellEnd"/>
    </w:p>
    <w:p w14:paraId="04559921" w14:textId="77777777" w:rsidR="006A65A1" w:rsidRPr="00D51EF4" w:rsidRDefault="006A65A1" w:rsidP="006A65A1">
      <w:pPr>
        <w:ind w:left="720" w:hanging="720"/>
        <w:rPr>
          <w:lang w:val="en-GB"/>
        </w:rPr>
      </w:pPr>
      <w:bookmarkStart w:id="1" w:name="_ENREF_3"/>
      <w:r w:rsidRPr="00953EFF">
        <w:t xml:space="preserve">Barth, M. E., </w:t>
      </w:r>
      <w:proofErr w:type="spellStart"/>
      <w:r w:rsidRPr="00953EFF">
        <w:t>Landsman</w:t>
      </w:r>
      <w:proofErr w:type="spellEnd"/>
      <w:r w:rsidRPr="00953EFF">
        <w:t xml:space="preserve">, W. R. &amp; Lang, M. H. (2008). </w:t>
      </w:r>
      <w:proofErr w:type="gramStart"/>
      <w:r w:rsidRPr="00D51EF4">
        <w:rPr>
          <w:lang w:val="en-GB"/>
        </w:rPr>
        <w:t>International Accounting Standards and Accounting Quality.</w:t>
      </w:r>
      <w:proofErr w:type="gramEnd"/>
      <w:r w:rsidRPr="00D51EF4">
        <w:rPr>
          <w:lang w:val="en-GB"/>
        </w:rPr>
        <w:t xml:space="preserve"> </w:t>
      </w:r>
      <w:r w:rsidRPr="00D51EF4">
        <w:rPr>
          <w:i/>
          <w:lang w:val="en-GB"/>
        </w:rPr>
        <w:t>Journal of Accounting Research</w:t>
      </w:r>
      <w:r w:rsidRPr="00D51EF4">
        <w:rPr>
          <w:lang w:val="en-GB"/>
        </w:rPr>
        <w:t xml:space="preserve">, </w:t>
      </w:r>
      <w:r w:rsidRPr="00D51EF4">
        <w:rPr>
          <w:i/>
          <w:lang w:val="en-GB"/>
        </w:rPr>
        <w:t>46,</w:t>
      </w:r>
      <w:r w:rsidRPr="00D51EF4">
        <w:rPr>
          <w:lang w:val="en-GB"/>
        </w:rPr>
        <w:t xml:space="preserve"> 467-498.</w:t>
      </w:r>
      <w:bookmarkEnd w:id="1"/>
    </w:p>
    <w:p w14:paraId="62E03777" w14:textId="77777777" w:rsidR="006A65A1" w:rsidRPr="00D51EF4" w:rsidRDefault="006A65A1" w:rsidP="006A65A1">
      <w:pPr>
        <w:ind w:left="720" w:hanging="720"/>
        <w:rPr>
          <w:lang w:val="en-GB"/>
        </w:rPr>
      </w:pPr>
      <w:bookmarkStart w:id="2" w:name="_ENREF_4"/>
      <w:r w:rsidRPr="00D51EF4">
        <w:rPr>
          <w:lang w:val="en-GB"/>
        </w:rPr>
        <w:t xml:space="preserve">Beisland, L. A. (2011). </w:t>
      </w:r>
      <w:proofErr w:type="gramStart"/>
      <w:r w:rsidRPr="00D51EF4">
        <w:rPr>
          <w:lang w:val="en-GB"/>
        </w:rPr>
        <w:t>The Predictive Ability and Value Relevance of Accounting Measures.</w:t>
      </w:r>
      <w:proofErr w:type="gramEnd"/>
      <w:r w:rsidRPr="00D51EF4">
        <w:rPr>
          <w:lang w:val="en-GB"/>
        </w:rPr>
        <w:t xml:space="preserve"> </w:t>
      </w:r>
      <w:r w:rsidRPr="00D51EF4">
        <w:rPr>
          <w:i/>
          <w:lang w:val="en-GB"/>
        </w:rPr>
        <w:t xml:space="preserve">International Journal of Economics and Accounting, 2, </w:t>
      </w:r>
      <w:r w:rsidRPr="00D51EF4">
        <w:rPr>
          <w:lang w:val="en-GB"/>
        </w:rPr>
        <w:t>215-241.</w:t>
      </w:r>
      <w:bookmarkEnd w:id="2"/>
    </w:p>
    <w:p w14:paraId="39D4C3AE" w14:textId="77777777" w:rsidR="000452B7" w:rsidRDefault="006A65A1" w:rsidP="006A65A1">
      <w:pPr>
        <w:ind w:left="720" w:hanging="720"/>
        <w:rPr>
          <w:lang w:val="en-GB"/>
        </w:rPr>
      </w:pPr>
      <w:bookmarkStart w:id="3" w:name="_ENREF_6"/>
      <w:bookmarkStart w:id="4" w:name="_ENREF_9"/>
      <w:r w:rsidRPr="005E5F57">
        <w:t xml:space="preserve">Beisland, L. A., &amp; Mersland, R. (2012). </w:t>
      </w:r>
      <w:proofErr w:type="gramStart"/>
      <w:r w:rsidRPr="00D51EF4">
        <w:rPr>
          <w:lang w:val="en-GB"/>
        </w:rPr>
        <w:t>An analysis of the drivers of microfinance rating assessments.</w:t>
      </w:r>
      <w:proofErr w:type="gramEnd"/>
      <w:r w:rsidRPr="00D51EF4">
        <w:rPr>
          <w:lang w:val="en-GB"/>
        </w:rPr>
        <w:t xml:space="preserve"> </w:t>
      </w:r>
      <w:proofErr w:type="spellStart"/>
      <w:r w:rsidRPr="00D51EF4">
        <w:rPr>
          <w:i/>
          <w:lang w:val="en-GB"/>
        </w:rPr>
        <w:t>Nonprofit</w:t>
      </w:r>
      <w:proofErr w:type="spellEnd"/>
      <w:r w:rsidRPr="00D51EF4">
        <w:rPr>
          <w:i/>
          <w:lang w:val="en-GB"/>
        </w:rPr>
        <w:t xml:space="preserve"> and Voluntary Sector Quarterly</w:t>
      </w:r>
      <w:r w:rsidR="008D11EC" w:rsidRPr="00D51EF4">
        <w:rPr>
          <w:i/>
          <w:lang w:val="en-GB"/>
        </w:rPr>
        <w:t>,</w:t>
      </w:r>
      <w:r w:rsidR="00F52E78" w:rsidRPr="00D51EF4">
        <w:rPr>
          <w:i/>
          <w:lang w:val="en-GB"/>
        </w:rPr>
        <w:t xml:space="preserve"> </w:t>
      </w:r>
      <w:r w:rsidR="008D11EC" w:rsidRPr="00D51EF4">
        <w:rPr>
          <w:i/>
          <w:lang w:val="en-GB"/>
        </w:rPr>
        <w:t>41,</w:t>
      </w:r>
      <w:r w:rsidR="00F52E78" w:rsidRPr="00D51EF4">
        <w:rPr>
          <w:i/>
          <w:lang w:val="en-GB"/>
        </w:rPr>
        <w:t xml:space="preserve"> </w:t>
      </w:r>
      <w:r w:rsidR="008D11EC" w:rsidRPr="00D51EF4">
        <w:rPr>
          <w:lang w:val="en-GB"/>
        </w:rPr>
        <w:t>213-231</w:t>
      </w:r>
      <w:r w:rsidRPr="00D51EF4">
        <w:rPr>
          <w:lang w:val="en-GB"/>
        </w:rPr>
        <w:t xml:space="preserve">. </w:t>
      </w:r>
    </w:p>
    <w:p w14:paraId="5408DFEF" w14:textId="74144F24" w:rsidR="00A83608" w:rsidRPr="00A83608" w:rsidRDefault="00A83608" w:rsidP="00A83608">
      <w:pPr>
        <w:ind w:left="720" w:hanging="720"/>
        <w:rPr>
          <w:lang w:val="en-GB"/>
        </w:rPr>
      </w:pPr>
      <w:r w:rsidRPr="005E5F57">
        <w:t xml:space="preserve">Beisland, L. A., &amp; Mersland, R. (2013). </w:t>
      </w:r>
      <w:r w:rsidRPr="00A83608">
        <w:rPr>
          <w:lang w:val="en-GB"/>
        </w:rPr>
        <w:t>Earnings Quality in th</w:t>
      </w:r>
      <w:r w:rsidR="00EB319C">
        <w:rPr>
          <w:lang w:val="en-GB"/>
        </w:rPr>
        <w:t xml:space="preserve">e Microfinance Industry. </w:t>
      </w:r>
      <w:proofErr w:type="gramStart"/>
      <w:r w:rsidR="00EB319C">
        <w:rPr>
          <w:lang w:val="en-GB"/>
        </w:rPr>
        <w:t>In</w:t>
      </w:r>
      <w:r>
        <w:rPr>
          <w:lang w:val="en-GB"/>
        </w:rPr>
        <w:t xml:space="preserve"> </w:t>
      </w:r>
      <w:proofErr w:type="spellStart"/>
      <w:r>
        <w:rPr>
          <w:lang w:val="en-GB"/>
        </w:rPr>
        <w:t>Gueyie</w:t>
      </w:r>
      <w:proofErr w:type="spellEnd"/>
      <w:r>
        <w:rPr>
          <w:lang w:val="en-GB"/>
        </w:rPr>
        <w:t>,</w:t>
      </w:r>
      <w:r w:rsidR="00EB319C">
        <w:rPr>
          <w:lang w:val="en-GB"/>
        </w:rPr>
        <w:t xml:space="preserve"> J.-P., </w:t>
      </w:r>
      <w:r>
        <w:rPr>
          <w:lang w:val="en-GB"/>
        </w:rPr>
        <w:t>Manos</w:t>
      </w:r>
      <w:r w:rsidR="00EB319C">
        <w:rPr>
          <w:lang w:val="en-GB"/>
        </w:rPr>
        <w:t>, R.,</w:t>
      </w:r>
      <w:r>
        <w:rPr>
          <w:lang w:val="en-GB"/>
        </w:rPr>
        <w:t xml:space="preserve"> &amp; Yaron</w:t>
      </w:r>
      <w:r w:rsidR="00EB319C">
        <w:rPr>
          <w:lang w:val="en-GB"/>
        </w:rPr>
        <w:t>, J.</w:t>
      </w:r>
      <w:r>
        <w:rPr>
          <w:lang w:val="en-GB"/>
        </w:rPr>
        <w:t xml:space="preserve"> (e</w:t>
      </w:r>
      <w:r w:rsidRPr="00A83608">
        <w:rPr>
          <w:lang w:val="en-GB"/>
        </w:rPr>
        <w:t xml:space="preserve">ds.), </w:t>
      </w:r>
      <w:r w:rsidRPr="00A83608">
        <w:rPr>
          <w:i/>
          <w:lang w:val="en-GB"/>
        </w:rPr>
        <w:t>Microfinance in Developing and Developed Countries: Issues, Policies and Performance Evaluation</w:t>
      </w:r>
      <w:r w:rsidR="00EB319C">
        <w:rPr>
          <w:lang w:val="en-GB"/>
        </w:rPr>
        <w:t>,</w:t>
      </w:r>
      <w:r w:rsidRPr="00A83608">
        <w:rPr>
          <w:lang w:val="en-GB"/>
        </w:rPr>
        <w:t xml:space="preserve"> Palgrave Macmillan.</w:t>
      </w:r>
      <w:proofErr w:type="gramEnd"/>
    </w:p>
    <w:p w14:paraId="3263CFD1" w14:textId="77777777" w:rsidR="0033521D" w:rsidRPr="00D51EF4" w:rsidRDefault="006A65A1" w:rsidP="006A65A1">
      <w:pPr>
        <w:ind w:left="720" w:hanging="720"/>
        <w:rPr>
          <w:lang w:val="en-GB"/>
        </w:rPr>
      </w:pPr>
      <w:r w:rsidRPr="00A83608">
        <w:t xml:space="preserve">Ben-Hsien, B. &amp; Da-Hsien, B. (2004). </w:t>
      </w:r>
      <w:proofErr w:type="gramStart"/>
      <w:r w:rsidRPr="00D51EF4">
        <w:rPr>
          <w:lang w:val="en-GB"/>
        </w:rPr>
        <w:t>Income Smoothing, Earnings Quality and Firm Valuation.</w:t>
      </w:r>
      <w:proofErr w:type="gramEnd"/>
      <w:r w:rsidRPr="00D51EF4">
        <w:rPr>
          <w:lang w:val="en-GB"/>
        </w:rPr>
        <w:t xml:space="preserve"> </w:t>
      </w:r>
      <w:r w:rsidRPr="00D51EF4">
        <w:rPr>
          <w:i/>
          <w:lang w:val="en-GB"/>
        </w:rPr>
        <w:t>Journal of Business Finance &amp; Accounting</w:t>
      </w:r>
      <w:r w:rsidRPr="00D51EF4">
        <w:rPr>
          <w:lang w:val="en-GB"/>
        </w:rPr>
        <w:t xml:space="preserve">, </w:t>
      </w:r>
      <w:r w:rsidRPr="00D51EF4">
        <w:rPr>
          <w:i/>
          <w:lang w:val="en-GB"/>
        </w:rPr>
        <w:t>31,</w:t>
      </w:r>
      <w:r w:rsidRPr="00D51EF4">
        <w:rPr>
          <w:lang w:val="en-GB"/>
        </w:rPr>
        <w:t xml:space="preserve"> 1525-1557.</w:t>
      </w:r>
      <w:bookmarkEnd w:id="3"/>
    </w:p>
    <w:p w14:paraId="3A284417" w14:textId="7BA4B7FC" w:rsidR="00421E64" w:rsidRPr="00D51EF4" w:rsidRDefault="00421E64" w:rsidP="006A65A1">
      <w:pPr>
        <w:ind w:left="720" w:hanging="720"/>
        <w:rPr>
          <w:lang w:val="en-GB"/>
        </w:rPr>
      </w:pPr>
      <w:r w:rsidRPr="00D51EF4">
        <w:rPr>
          <w:lang w:val="en-GB"/>
        </w:rPr>
        <w:t xml:space="preserve">Calabrese, T. D. (2012). The Accumulation of </w:t>
      </w:r>
      <w:proofErr w:type="spellStart"/>
      <w:r w:rsidRPr="00D51EF4">
        <w:rPr>
          <w:lang w:val="en-GB"/>
        </w:rPr>
        <w:t>Nonprofit</w:t>
      </w:r>
      <w:proofErr w:type="spellEnd"/>
      <w:r w:rsidRPr="00D51EF4">
        <w:rPr>
          <w:lang w:val="en-GB"/>
        </w:rPr>
        <w:t xml:space="preserve"> </w:t>
      </w:r>
      <w:proofErr w:type="gramStart"/>
      <w:r w:rsidRPr="00D51EF4">
        <w:rPr>
          <w:lang w:val="en-GB"/>
        </w:rPr>
        <w:t>Profits :</w:t>
      </w:r>
      <w:proofErr w:type="gramEnd"/>
      <w:r w:rsidRPr="00D51EF4">
        <w:rPr>
          <w:lang w:val="en-GB"/>
        </w:rPr>
        <w:t xml:space="preserve"> A Dynamic Analysis.</w:t>
      </w:r>
      <w:r w:rsidRPr="00D51EF4">
        <w:rPr>
          <w:i/>
          <w:lang w:val="en-GB"/>
        </w:rPr>
        <w:t xml:space="preserve"> </w:t>
      </w:r>
      <w:proofErr w:type="spellStart"/>
      <w:r w:rsidRPr="00D51EF4">
        <w:rPr>
          <w:i/>
          <w:lang w:val="en-GB"/>
        </w:rPr>
        <w:t>Nonprofit</w:t>
      </w:r>
      <w:proofErr w:type="spellEnd"/>
      <w:r w:rsidRPr="00D51EF4">
        <w:rPr>
          <w:i/>
          <w:lang w:val="en-GB"/>
        </w:rPr>
        <w:t xml:space="preserve"> and Voluntary Sector Quarterl</w:t>
      </w:r>
      <w:r w:rsidR="00F52E78" w:rsidRPr="00D51EF4">
        <w:rPr>
          <w:i/>
          <w:lang w:val="en-GB"/>
        </w:rPr>
        <w:t>y</w:t>
      </w:r>
      <w:r w:rsidRPr="00D51EF4">
        <w:rPr>
          <w:i/>
          <w:lang w:val="en-GB"/>
        </w:rPr>
        <w:t>,</w:t>
      </w:r>
      <w:r w:rsidR="00F52E78" w:rsidRPr="00D51EF4">
        <w:rPr>
          <w:i/>
          <w:lang w:val="en-GB"/>
        </w:rPr>
        <w:t xml:space="preserve"> </w:t>
      </w:r>
      <w:r w:rsidRPr="00D51EF4">
        <w:rPr>
          <w:i/>
          <w:lang w:val="en-GB"/>
        </w:rPr>
        <w:t>41</w:t>
      </w:r>
      <w:r w:rsidRPr="00D51EF4">
        <w:rPr>
          <w:lang w:val="en-GB"/>
        </w:rPr>
        <w:t>, 300-324.</w:t>
      </w:r>
    </w:p>
    <w:p w14:paraId="35C904EA" w14:textId="77777777" w:rsidR="006A65A1" w:rsidRPr="00D51EF4" w:rsidRDefault="006A65A1" w:rsidP="006A65A1">
      <w:pPr>
        <w:ind w:left="720" w:hanging="720"/>
        <w:rPr>
          <w:lang w:val="en-GB"/>
        </w:rPr>
      </w:pPr>
      <w:proofErr w:type="gramStart"/>
      <w:r w:rsidRPr="00D51EF4">
        <w:rPr>
          <w:lang w:val="en-GB"/>
        </w:rPr>
        <w:t>Crabtree, A. &amp; Maher, J. (2005).</w:t>
      </w:r>
      <w:proofErr w:type="gramEnd"/>
      <w:r w:rsidRPr="00D51EF4">
        <w:rPr>
          <w:lang w:val="en-GB"/>
        </w:rPr>
        <w:t xml:space="preserve"> </w:t>
      </w:r>
      <w:proofErr w:type="gramStart"/>
      <w:r w:rsidRPr="00D51EF4">
        <w:rPr>
          <w:lang w:val="en-GB"/>
        </w:rPr>
        <w:t>Earnings Predictability, Bond Ratings, and Bond Yields.</w:t>
      </w:r>
      <w:proofErr w:type="gramEnd"/>
      <w:r w:rsidRPr="00D51EF4">
        <w:rPr>
          <w:lang w:val="en-GB"/>
        </w:rPr>
        <w:t xml:space="preserve"> </w:t>
      </w:r>
      <w:r w:rsidRPr="00D51EF4">
        <w:rPr>
          <w:i/>
          <w:lang w:val="en-GB"/>
        </w:rPr>
        <w:t>Review of Quantitative Finance &amp; Accounting</w:t>
      </w:r>
      <w:r w:rsidRPr="00D51EF4">
        <w:rPr>
          <w:lang w:val="en-GB"/>
        </w:rPr>
        <w:t xml:space="preserve">, </w:t>
      </w:r>
      <w:r w:rsidRPr="00D51EF4">
        <w:rPr>
          <w:i/>
          <w:lang w:val="en-GB"/>
        </w:rPr>
        <w:t>25,</w:t>
      </w:r>
      <w:r w:rsidRPr="00D51EF4">
        <w:rPr>
          <w:lang w:val="en-GB"/>
        </w:rPr>
        <w:t xml:space="preserve"> 233-253.</w:t>
      </w:r>
      <w:bookmarkEnd w:id="4"/>
    </w:p>
    <w:p w14:paraId="7BCE67AF" w14:textId="77777777" w:rsidR="006A65A1" w:rsidRPr="00D51EF4" w:rsidRDefault="006A65A1" w:rsidP="006A65A1">
      <w:pPr>
        <w:ind w:left="720" w:hanging="720"/>
        <w:rPr>
          <w:lang w:val="en-GB"/>
        </w:rPr>
      </w:pPr>
      <w:proofErr w:type="gramStart"/>
      <w:r w:rsidRPr="00D51EF4">
        <w:rPr>
          <w:lang w:val="en-GB"/>
        </w:rPr>
        <w:t>Cramer, J. S. (1987).</w:t>
      </w:r>
      <w:proofErr w:type="gramEnd"/>
      <w:r w:rsidRPr="00D51EF4">
        <w:rPr>
          <w:lang w:val="en-GB"/>
        </w:rPr>
        <w:t xml:space="preserve"> </w:t>
      </w:r>
      <w:proofErr w:type="gramStart"/>
      <w:r w:rsidRPr="00D51EF4">
        <w:rPr>
          <w:lang w:val="en-GB"/>
        </w:rPr>
        <w:t>Mean and variance of R2 in small and moderate samples.</w:t>
      </w:r>
      <w:proofErr w:type="gramEnd"/>
      <w:r w:rsidRPr="00D51EF4">
        <w:rPr>
          <w:lang w:val="en-GB"/>
        </w:rPr>
        <w:t xml:space="preserve"> </w:t>
      </w:r>
      <w:r w:rsidRPr="00D51EF4">
        <w:rPr>
          <w:i/>
          <w:lang w:val="en-GB"/>
        </w:rPr>
        <w:t>Journal of Econometrics</w:t>
      </w:r>
      <w:r w:rsidRPr="00D51EF4">
        <w:rPr>
          <w:lang w:val="en-GB"/>
        </w:rPr>
        <w:t>, 35, 253-266.</w:t>
      </w:r>
    </w:p>
    <w:p w14:paraId="386CAD3F" w14:textId="77777777" w:rsidR="006A65A1" w:rsidRPr="00D51EF4" w:rsidRDefault="006A65A1" w:rsidP="006A65A1">
      <w:pPr>
        <w:ind w:left="720" w:hanging="720"/>
        <w:rPr>
          <w:lang w:val="en-GB"/>
        </w:rPr>
      </w:pPr>
      <w:bookmarkStart w:id="5" w:name="_ENREF_11"/>
      <w:r w:rsidRPr="00D51EF4">
        <w:rPr>
          <w:lang w:val="en-GB"/>
        </w:rPr>
        <w:t xml:space="preserve">Dechow, P. M. &amp; Dichev, I. D. (2002). </w:t>
      </w:r>
      <w:proofErr w:type="gramStart"/>
      <w:r w:rsidRPr="00D51EF4">
        <w:rPr>
          <w:lang w:val="en-GB"/>
        </w:rPr>
        <w:t>The Quality of Accruals and Earnings: The Role of Accrual Estimation Errors.</w:t>
      </w:r>
      <w:proofErr w:type="gramEnd"/>
      <w:r w:rsidRPr="00D51EF4">
        <w:rPr>
          <w:lang w:val="en-GB"/>
        </w:rPr>
        <w:t xml:space="preserve"> </w:t>
      </w:r>
      <w:proofErr w:type="gramStart"/>
      <w:r w:rsidRPr="00D51EF4">
        <w:rPr>
          <w:i/>
          <w:lang w:val="en-GB"/>
        </w:rPr>
        <w:t>Accounting Review</w:t>
      </w:r>
      <w:r w:rsidRPr="00D51EF4">
        <w:rPr>
          <w:lang w:val="en-GB"/>
        </w:rPr>
        <w:t xml:space="preserve">, </w:t>
      </w:r>
      <w:r w:rsidRPr="00D51EF4">
        <w:rPr>
          <w:i/>
          <w:lang w:val="en-GB"/>
        </w:rPr>
        <w:t>77,</w:t>
      </w:r>
      <w:r w:rsidRPr="00D51EF4">
        <w:rPr>
          <w:lang w:val="en-GB"/>
        </w:rPr>
        <w:t xml:space="preserve"> 35</w:t>
      </w:r>
      <w:r w:rsidR="000452B7" w:rsidRPr="00D51EF4">
        <w:rPr>
          <w:lang w:val="en-GB"/>
        </w:rPr>
        <w:t>-59</w:t>
      </w:r>
      <w:r w:rsidRPr="00D51EF4">
        <w:rPr>
          <w:lang w:val="en-GB"/>
        </w:rPr>
        <w:t>.</w:t>
      </w:r>
      <w:bookmarkEnd w:id="5"/>
      <w:proofErr w:type="gramEnd"/>
    </w:p>
    <w:p w14:paraId="3C3F095A" w14:textId="77777777" w:rsidR="006A65A1" w:rsidRPr="00D51EF4" w:rsidRDefault="006A65A1" w:rsidP="006A65A1">
      <w:pPr>
        <w:ind w:left="720" w:hanging="720"/>
        <w:rPr>
          <w:lang w:val="en-GB"/>
        </w:rPr>
      </w:pPr>
      <w:r w:rsidRPr="00D51EF4">
        <w:rPr>
          <w:lang w:val="en-GB"/>
        </w:rPr>
        <w:t xml:space="preserve">Dechow, P. M., </w:t>
      </w:r>
      <w:proofErr w:type="spellStart"/>
      <w:r w:rsidRPr="00D51EF4">
        <w:rPr>
          <w:lang w:val="en-GB"/>
        </w:rPr>
        <w:t>Ge</w:t>
      </w:r>
      <w:proofErr w:type="spellEnd"/>
      <w:r w:rsidRPr="00D51EF4">
        <w:rPr>
          <w:lang w:val="en-GB"/>
        </w:rPr>
        <w:t xml:space="preserve">, W. &amp; </w:t>
      </w:r>
      <w:proofErr w:type="spellStart"/>
      <w:r w:rsidRPr="00D51EF4">
        <w:rPr>
          <w:lang w:val="en-GB"/>
        </w:rPr>
        <w:t>Schrand</w:t>
      </w:r>
      <w:proofErr w:type="spellEnd"/>
      <w:r w:rsidRPr="00D51EF4">
        <w:rPr>
          <w:lang w:val="en-GB"/>
        </w:rPr>
        <w:t xml:space="preserve">, C. (2010). </w:t>
      </w:r>
      <w:proofErr w:type="gramStart"/>
      <w:r w:rsidRPr="00D51EF4">
        <w:rPr>
          <w:lang w:val="en-GB"/>
        </w:rPr>
        <w:t>Understanding earnings quality: A review of the proxies, their determinants and their consequences.</w:t>
      </w:r>
      <w:proofErr w:type="gramEnd"/>
      <w:r w:rsidRPr="00D51EF4">
        <w:rPr>
          <w:lang w:val="en-GB"/>
        </w:rPr>
        <w:t xml:space="preserve"> </w:t>
      </w:r>
      <w:r w:rsidRPr="00D51EF4">
        <w:rPr>
          <w:i/>
          <w:lang w:val="en-GB"/>
        </w:rPr>
        <w:t>Journal of Accounting and Economics</w:t>
      </w:r>
      <w:r w:rsidRPr="00D51EF4">
        <w:rPr>
          <w:lang w:val="en-GB"/>
        </w:rPr>
        <w:t xml:space="preserve">, </w:t>
      </w:r>
      <w:r w:rsidRPr="00D51EF4">
        <w:rPr>
          <w:i/>
          <w:lang w:val="en-GB"/>
        </w:rPr>
        <w:t>50,</w:t>
      </w:r>
      <w:r w:rsidRPr="00D51EF4">
        <w:rPr>
          <w:lang w:val="en-GB"/>
        </w:rPr>
        <w:t xml:space="preserve"> 344-401.</w:t>
      </w:r>
    </w:p>
    <w:p w14:paraId="595695C3" w14:textId="77777777" w:rsidR="006A65A1" w:rsidRPr="00D51EF4" w:rsidRDefault="006A65A1" w:rsidP="006A65A1">
      <w:pPr>
        <w:ind w:left="720" w:hanging="720"/>
        <w:rPr>
          <w:lang w:val="en-GB"/>
        </w:rPr>
      </w:pPr>
      <w:bookmarkStart w:id="6" w:name="_ENREF_13"/>
      <w:proofErr w:type="spellStart"/>
      <w:r w:rsidRPr="005E5F57">
        <w:t>Dichev</w:t>
      </w:r>
      <w:proofErr w:type="spellEnd"/>
      <w:r w:rsidRPr="005E5F57">
        <w:t xml:space="preserve">, I. D. &amp; Tang, V. W. (2009). </w:t>
      </w:r>
      <w:proofErr w:type="gramStart"/>
      <w:r w:rsidRPr="00D51EF4">
        <w:rPr>
          <w:lang w:val="en-GB"/>
        </w:rPr>
        <w:t>Earnings volatility and earnings predictability.</w:t>
      </w:r>
      <w:proofErr w:type="gramEnd"/>
      <w:r w:rsidRPr="00D51EF4">
        <w:rPr>
          <w:lang w:val="en-GB"/>
        </w:rPr>
        <w:t xml:space="preserve"> </w:t>
      </w:r>
      <w:r w:rsidRPr="00D51EF4">
        <w:rPr>
          <w:i/>
          <w:lang w:val="en-GB"/>
        </w:rPr>
        <w:t>Journal of Accounting &amp; Economics</w:t>
      </w:r>
      <w:r w:rsidRPr="00D51EF4">
        <w:rPr>
          <w:lang w:val="en-GB"/>
        </w:rPr>
        <w:t xml:space="preserve">, </w:t>
      </w:r>
      <w:r w:rsidRPr="00D51EF4">
        <w:rPr>
          <w:i/>
          <w:lang w:val="en-GB"/>
        </w:rPr>
        <w:t>47,</w:t>
      </w:r>
      <w:r w:rsidRPr="00D51EF4">
        <w:rPr>
          <w:lang w:val="en-GB"/>
        </w:rPr>
        <w:t xml:space="preserve"> 160-181.</w:t>
      </w:r>
      <w:bookmarkEnd w:id="6"/>
    </w:p>
    <w:p w14:paraId="69BC5266" w14:textId="77777777" w:rsidR="006A65A1" w:rsidRPr="00D51EF4" w:rsidRDefault="006A65A1" w:rsidP="006A65A1">
      <w:pPr>
        <w:ind w:left="720" w:hanging="720"/>
        <w:rPr>
          <w:lang w:val="en-GB"/>
        </w:rPr>
      </w:pPr>
      <w:bookmarkStart w:id="7" w:name="_ENREF_15"/>
      <w:bookmarkStart w:id="8" w:name="_ENREF_18"/>
      <w:proofErr w:type="gramStart"/>
      <w:r w:rsidRPr="00D51EF4">
        <w:rPr>
          <w:lang w:val="en-GB"/>
        </w:rPr>
        <w:t xml:space="preserve">Francis, J., </w:t>
      </w:r>
      <w:proofErr w:type="spellStart"/>
      <w:r w:rsidRPr="00D51EF4">
        <w:rPr>
          <w:lang w:val="en-GB"/>
        </w:rPr>
        <w:t>LaFond</w:t>
      </w:r>
      <w:proofErr w:type="spellEnd"/>
      <w:r w:rsidRPr="00D51EF4">
        <w:rPr>
          <w:lang w:val="en-GB"/>
        </w:rPr>
        <w:t>, R., Olsson, P. M. &amp; Schipper, K. (2004).</w:t>
      </w:r>
      <w:proofErr w:type="gramEnd"/>
      <w:r w:rsidRPr="00D51EF4">
        <w:rPr>
          <w:lang w:val="en-GB"/>
        </w:rPr>
        <w:t xml:space="preserve"> Costs of Equity and Earnings Attributes. </w:t>
      </w:r>
      <w:proofErr w:type="gramStart"/>
      <w:r w:rsidRPr="00D51EF4">
        <w:rPr>
          <w:i/>
          <w:lang w:val="en-GB"/>
        </w:rPr>
        <w:t>Accounting Review</w:t>
      </w:r>
      <w:r w:rsidRPr="00D51EF4">
        <w:rPr>
          <w:lang w:val="en-GB"/>
        </w:rPr>
        <w:t xml:space="preserve">, </w:t>
      </w:r>
      <w:r w:rsidRPr="00D51EF4">
        <w:rPr>
          <w:i/>
          <w:lang w:val="en-GB"/>
        </w:rPr>
        <w:t>79,</w:t>
      </w:r>
      <w:r w:rsidRPr="00D51EF4">
        <w:rPr>
          <w:lang w:val="en-GB"/>
        </w:rPr>
        <w:t xml:space="preserve"> 967-1010.</w:t>
      </w:r>
      <w:bookmarkEnd w:id="7"/>
      <w:proofErr w:type="gramEnd"/>
    </w:p>
    <w:p w14:paraId="78B1F6DB" w14:textId="77777777" w:rsidR="006A65A1" w:rsidRPr="00D51EF4" w:rsidRDefault="006A65A1" w:rsidP="006A65A1">
      <w:pPr>
        <w:ind w:left="720" w:hanging="720"/>
        <w:rPr>
          <w:lang w:val="en-GB"/>
        </w:rPr>
      </w:pPr>
      <w:proofErr w:type="gramStart"/>
      <w:r w:rsidRPr="00D51EF4">
        <w:rPr>
          <w:lang w:val="en-GB"/>
        </w:rPr>
        <w:t>Francis, J., Olsson, P. &amp; Schipper, K. (2008).</w:t>
      </w:r>
      <w:proofErr w:type="gramEnd"/>
      <w:r w:rsidRPr="00D51EF4">
        <w:rPr>
          <w:lang w:val="en-GB"/>
        </w:rPr>
        <w:t xml:space="preserve"> </w:t>
      </w:r>
      <w:proofErr w:type="gramStart"/>
      <w:r w:rsidRPr="00D51EF4">
        <w:rPr>
          <w:lang w:val="en-GB"/>
        </w:rPr>
        <w:t>Earnings Quality.</w:t>
      </w:r>
      <w:proofErr w:type="gramEnd"/>
      <w:r w:rsidRPr="00D51EF4">
        <w:rPr>
          <w:lang w:val="en-GB"/>
        </w:rPr>
        <w:t xml:space="preserve"> </w:t>
      </w:r>
      <w:r w:rsidRPr="00D51EF4">
        <w:rPr>
          <w:i/>
          <w:lang w:val="en-GB"/>
        </w:rPr>
        <w:t>Foundations and Trends in Accounting</w:t>
      </w:r>
      <w:r w:rsidR="00106C09" w:rsidRPr="00D51EF4">
        <w:rPr>
          <w:i/>
          <w:lang w:val="en-GB"/>
        </w:rPr>
        <w:t>,</w:t>
      </w:r>
      <w:r w:rsidRPr="00D51EF4">
        <w:rPr>
          <w:i/>
          <w:lang w:val="en-GB"/>
        </w:rPr>
        <w:t xml:space="preserve"> 1</w:t>
      </w:r>
      <w:r w:rsidRPr="00D51EF4">
        <w:rPr>
          <w:lang w:val="en-GB"/>
        </w:rPr>
        <w:t>, 259-340.</w:t>
      </w:r>
    </w:p>
    <w:p w14:paraId="5E582DA9" w14:textId="77777777" w:rsidR="006A65A1" w:rsidRPr="00D51EF4" w:rsidRDefault="006A65A1" w:rsidP="006A65A1">
      <w:pPr>
        <w:ind w:left="720" w:hanging="720"/>
        <w:rPr>
          <w:lang w:val="en-GB"/>
        </w:rPr>
      </w:pPr>
      <w:proofErr w:type="spellStart"/>
      <w:r w:rsidRPr="005E5F57">
        <w:t>Galema</w:t>
      </w:r>
      <w:proofErr w:type="spellEnd"/>
      <w:r w:rsidRPr="005E5F57">
        <w:t>, R., Lensink, R., &amp; Mersland, R. (</w:t>
      </w:r>
      <w:r w:rsidR="00502793" w:rsidRPr="005E5F57">
        <w:t>2012</w:t>
      </w:r>
      <w:r w:rsidRPr="005E5F57">
        <w:t xml:space="preserve">). </w:t>
      </w:r>
      <w:proofErr w:type="gramStart"/>
      <w:r w:rsidRPr="00D51EF4">
        <w:rPr>
          <w:lang w:val="en-GB"/>
        </w:rPr>
        <w:t>Governance and Microfinance Institutions.</w:t>
      </w:r>
      <w:proofErr w:type="gramEnd"/>
      <w:r w:rsidRPr="00D51EF4">
        <w:rPr>
          <w:lang w:val="en-GB"/>
        </w:rPr>
        <w:t xml:space="preserve"> </w:t>
      </w:r>
      <w:proofErr w:type="gramStart"/>
      <w:r w:rsidRPr="00D51EF4">
        <w:rPr>
          <w:lang w:val="en-GB"/>
        </w:rPr>
        <w:t xml:space="preserve">In Barth, J.R., Lin, C., &amp; </w:t>
      </w:r>
      <w:proofErr w:type="spellStart"/>
      <w:r w:rsidRPr="00D51EF4">
        <w:rPr>
          <w:lang w:val="en-GB"/>
        </w:rPr>
        <w:t>Wihlborg</w:t>
      </w:r>
      <w:proofErr w:type="spellEnd"/>
      <w:r w:rsidRPr="00D51EF4">
        <w:rPr>
          <w:lang w:val="en-GB"/>
        </w:rPr>
        <w:t xml:space="preserve">, C. (eds.): </w:t>
      </w:r>
      <w:r w:rsidRPr="00D51EF4">
        <w:rPr>
          <w:i/>
          <w:lang w:val="en-GB"/>
        </w:rPr>
        <w:t>Research Handbook for Banking and Governance</w:t>
      </w:r>
      <w:r w:rsidRPr="00D51EF4">
        <w:rPr>
          <w:lang w:val="en-GB"/>
        </w:rPr>
        <w:t>, Edward Elgar, New York.</w:t>
      </w:r>
      <w:proofErr w:type="gramEnd"/>
      <w:r w:rsidRPr="00D51EF4">
        <w:rPr>
          <w:lang w:val="en-GB"/>
        </w:rPr>
        <w:t xml:space="preserve"> </w:t>
      </w:r>
    </w:p>
    <w:p w14:paraId="77DCA134" w14:textId="77777777" w:rsidR="006A65A1" w:rsidRPr="00D51EF4" w:rsidRDefault="006A65A1" w:rsidP="006A65A1">
      <w:pPr>
        <w:ind w:left="720" w:hanging="720"/>
        <w:rPr>
          <w:lang w:val="en-GB"/>
        </w:rPr>
      </w:pPr>
      <w:proofErr w:type="gramStart"/>
      <w:r w:rsidRPr="00D51EF4">
        <w:rPr>
          <w:lang w:val="en-GB"/>
        </w:rPr>
        <w:t xml:space="preserve">Givoly, D., </w:t>
      </w:r>
      <w:proofErr w:type="spellStart"/>
      <w:r w:rsidRPr="00D51EF4">
        <w:rPr>
          <w:lang w:val="en-GB"/>
        </w:rPr>
        <w:t>Hayn</w:t>
      </w:r>
      <w:proofErr w:type="spellEnd"/>
      <w:r w:rsidRPr="00D51EF4">
        <w:rPr>
          <w:lang w:val="en-GB"/>
        </w:rPr>
        <w:t>, C. K. &amp; Katz, S. P. (2010).</w:t>
      </w:r>
      <w:proofErr w:type="gramEnd"/>
      <w:r w:rsidRPr="00D51EF4">
        <w:rPr>
          <w:lang w:val="en-GB"/>
        </w:rPr>
        <w:t xml:space="preserve"> Does Public Ownership of Equity Improve Earnings Quality? </w:t>
      </w:r>
      <w:proofErr w:type="gramStart"/>
      <w:r w:rsidRPr="00D51EF4">
        <w:rPr>
          <w:i/>
          <w:lang w:val="en-GB"/>
        </w:rPr>
        <w:t>Accounting Review</w:t>
      </w:r>
      <w:r w:rsidRPr="00D51EF4">
        <w:rPr>
          <w:lang w:val="en-GB"/>
        </w:rPr>
        <w:t xml:space="preserve">, </w:t>
      </w:r>
      <w:r w:rsidRPr="00D51EF4">
        <w:rPr>
          <w:i/>
          <w:lang w:val="en-GB"/>
        </w:rPr>
        <w:t>85,</w:t>
      </w:r>
      <w:r w:rsidRPr="00D51EF4">
        <w:rPr>
          <w:lang w:val="en-GB"/>
        </w:rPr>
        <w:t xml:space="preserve"> 195-225.</w:t>
      </w:r>
      <w:bookmarkEnd w:id="8"/>
      <w:proofErr w:type="gramEnd"/>
    </w:p>
    <w:p w14:paraId="66214EE9" w14:textId="77777777" w:rsidR="006A65A1" w:rsidRPr="00D51EF4" w:rsidRDefault="006A65A1" w:rsidP="006A65A1">
      <w:pPr>
        <w:ind w:left="720" w:hanging="720"/>
        <w:rPr>
          <w:lang w:val="en-GB"/>
        </w:rPr>
      </w:pPr>
      <w:bookmarkStart w:id="9" w:name="_ENREF_19"/>
      <w:r w:rsidRPr="00D51EF4">
        <w:rPr>
          <w:lang w:val="en-GB"/>
        </w:rPr>
        <w:t xml:space="preserve">Graham, J. R., Harvey, C. R. &amp; </w:t>
      </w:r>
      <w:proofErr w:type="spellStart"/>
      <w:r w:rsidRPr="00D51EF4">
        <w:rPr>
          <w:lang w:val="en-GB"/>
        </w:rPr>
        <w:t>Rajgopal</w:t>
      </w:r>
      <w:proofErr w:type="spellEnd"/>
      <w:r w:rsidRPr="00D51EF4">
        <w:rPr>
          <w:lang w:val="en-GB"/>
        </w:rPr>
        <w:t xml:space="preserve">, S. (2005). </w:t>
      </w:r>
      <w:proofErr w:type="gramStart"/>
      <w:r w:rsidRPr="00D51EF4">
        <w:rPr>
          <w:lang w:val="en-GB"/>
        </w:rPr>
        <w:t>The economic implications of corporate financial reporting.</w:t>
      </w:r>
      <w:proofErr w:type="gramEnd"/>
      <w:r w:rsidRPr="00D51EF4">
        <w:rPr>
          <w:lang w:val="en-GB"/>
        </w:rPr>
        <w:t xml:space="preserve"> </w:t>
      </w:r>
      <w:r w:rsidRPr="00D51EF4">
        <w:rPr>
          <w:i/>
          <w:lang w:val="en-GB"/>
        </w:rPr>
        <w:t>Journal of Accounting &amp; Economics</w:t>
      </w:r>
      <w:r w:rsidRPr="00D51EF4">
        <w:rPr>
          <w:lang w:val="en-GB"/>
        </w:rPr>
        <w:t xml:space="preserve">, </w:t>
      </w:r>
      <w:r w:rsidRPr="00D51EF4">
        <w:rPr>
          <w:i/>
          <w:lang w:val="en-GB"/>
        </w:rPr>
        <w:t>40,</w:t>
      </w:r>
      <w:r w:rsidRPr="00D51EF4">
        <w:rPr>
          <w:lang w:val="en-GB"/>
        </w:rPr>
        <w:t xml:space="preserve"> 3-73.</w:t>
      </w:r>
      <w:bookmarkEnd w:id="9"/>
    </w:p>
    <w:p w14:paraId="26DD26C6" w14:textId="77777777" w:rsidR="006A65A1" w:rsidRPr="00D51EF4" w:rsidRDefault="006A65A1" w:rsidP="006A65A1">
      <w:pPr>
        <w:ind w:left="720" w:hanging="720"/>
        <w:rPr>
          <w:lang w:val="en-GB"/>
        </w:rPr>
      </w:pPr>
      <w:bookmarkStart w:id="10" w:name="_ENREF_21"/>
      <w:r w:rsidRPr="00D51EF4">
        <w:rPr>
          <w:lang w:val="en-GB"/>
        </w:rPr>
        <w:t xml:space="preserve">Greene, W. H. (2003). </w:t>
      </w:r>
      <w:proofErr w:type="gramStart"/>
      <w:r w:rsidRPr="00D51EF4">
        <w:rPr>
          <w:i/>
          <w:lang w:val="en-GB"/>
        </w:rPr>
        <w:t>Econometric analysis</w:t>
      </w:r>
      <w:r w:rsidRPr="00D51EF4">
        <w:rPr>
          <w:lang w:val="en-GB"/>
        </w:rPr>
        <w:t>, Prentice Hall.</w:t>
      </w:r>
      <w:bookmarkEnd w:id="10"/>
      <w:proofErr w:type="gramEnd"/>
    </w:p>
    <w:p w14:paraId="0D254383" w14:textId="77777777" w:rsidR="006A65A1" w:rsidRPr="00D51EF4" w:rsidRDefault="006A65A1" w:rsidP="006A65A1">
      <w:pPr>
        <w:ind w:left="720" w:hanging="720"/>
        <w:rPr>
          <w:lang w:val="en-GB"/>
        </w:rPr>
      </w:pPr>
      <w:bookmarkStart w:id="11" w:name="_ENREF_22"/>
      <w:r w:rsidRPr="005E5F57">
        <w:rPr>
          <w:lang w:val="es-ES_tradnl"/>
        </w:rPr>
        <w:t>Gutiérrez-Nieto, B. &amp; Serrano-</w:t>
      </w:r>
      <w:proofErr w:type="spellStart"/>
      <w:r w:rsidRPr="005E5F57">
        <w:rPr>
          <w:lang w:val="es-ES_tradnl"/>
        </w:rPr>
        <w:t>Cinka</w:t>
      </w:r>
      <w:proofErr w:type="spellEnd"/>
      <w:r w:rsidRPr="005E5F57">
        <w:rPr>
          <w:lang w:val="es-ES_tradnl"/>
        </w:rPr>
        <w:t xml:space="preserve">, C. (2007). </w:t>
      </w:r>
      <w:proofErr w:type="gramStart"/>
      <w:r w:rsidRPr="00D51EF4">
        <w:rPr>
          <w:lang w:val="en-GB"/>
        </w:rPr>
        <w:t>Factors Explaining the Rating of Microfinance Institutions.</w:t>
      </w:r>
      <w:proofErr w:type="gramEnd"/>
      <w:r w:rsidRPr="00D51EF4">
        <w:rPr>
          <w:lang w:val="en-GB"/>
        </w:rPr>
        <w:t xml:space="preserve"> </w:t>
      </w:r>
      <w:proofErr w:type="spellStart"/>
      <w:r w:rsidRPr="00D51EF4">
        <w:rPr>
          <w:i/>
          <w:lang w:val="en-GB"/>
        </w:rPr>
        <w:t>Nonprofit</w:t>
      </w:r>
      <w:proofErr w:type="spellEnd"/>
      <w:r w:rsidRPr="00D51EF4">
        <w:rPr>
          <w:i/>
          <w:lang w:val="en-GB"/>
        </w:rPr>
        <w:t xml:space="preserve"> and Voluntary Sector Quarterly</w:t>
      </w:r>
      <w:r w:rsidRPr="00D51EF4">
        <w:rPr>
          <w:lang w:val="en-GB"/>
        </w:rPr>
        <w:t xml:space="preserve">, </w:t>
      </w:r>
      <w:r w:rsidRPr="00D51EF4">
        <w:rPr>
          <w:i/>
          <w:lang w:val="en-GB"/>
        </w:rPr>
        <w:t>36,</w:t>
      </w:r>
      <w:r w:rsidRPr="00D51EF4">
        <w:rPr>
          <w:lang w:val="en-GB"/>
        </w:rPr>
        <w:t xml:space="preserve"> 439-464.</w:t>
      </w:r>
      <w:bookmarkEnd w:id="11"/>
    </w:p>
    <w:p w14:paraId="699BBA4D" w14:textId="77777777" w:rsidR="006A65A1" w:rsidRPr="00D51EF4" w:rsidRDefault="006A65A1" w:rsidP="006A65A1">
      <w:pPr>
        <w:ind w:left="720" w:hanging="720"/>
        <w:rPr>
          <w:lang w:val="en-GB"/>
        </w:rPr>
      </w:pPr>
      <w:r w:rsidRPr="00D51EF4">
        <w:rPr>
          <w:lang w:val="en-GB"/>
        </w:rPr>
        <w:t xml:space="preserve">Hansmann, H. (1996). </w:t>
      </w:r>
      <w:proofErr w:type="gramStart"/>
      <w:r w:rsidRPr="00D51EF4">
        <w:rPr>
          <w:i/>
          <w:lang w:val="en-GB"/>
        </w:rPr>
        <w:t>The ownership of enterprise</w:t>
      </w:r>
      <w:r w:rsidRPr="00D51EF4">
        <w:rPr>
          <w:lang w:val="en-GB"/>
        </w:rPr>
        <w:t>.</w:t>
      </w:r>
      <w:proofErr w:type="gramEnd"/>
      <w:r w:rsidRPr="00D51EF4">
        <w:rPr>
          <w:lang w:val="en-GB"/>
        </w:rPr>
        <w:t xml:space="preserve"> Cambridge, Massachusetts: The </w:t>
      </w:r>
      <w:proofErr w:type="spellStart"/>
      <w:r w:rsidRPr="00D51EF4">
        <w:rPr>
          <w:lang w:val="en-GB"/>
        </w:rPr>
        <w:t>Belknap</w:t>
      </w:r>
      <w:proofErr w:type="spellEnd"/>
      <w:r w:rsidRPr="00D51EF4">
        <w:rPr>
          <w:lang w:val="en-GB"/>
        </w:rPr>
        <w:t xml:space="preserve"> Press of Harvard University Press.</w:t>
      </w:r>
    </w:p>
    <w:p w14:paraId="16470147" w14:textId="77777777" w:rsidR="006A65A1" w:rsidRPr="00D51EF4" w:rsidRDefault="006A65A1" w:rsidP="006A65A1">
      <w:pPr>
        <w:autoSpaceDE w:val="0"/>
        <w:autoSpaceDN w:val="0"/>
        <w:adjustRightInd w:val="0"/>
        <w:rPr>
          <w:lang w:val="en-GB"/>
        </w:rPr>
      </w:pPr>
      <w:proofErr w:type="gramStart"/>
      <w:r w:rsidRPr="00D51EF4">
        <w:rPr>
          <w:lang w:val="en-GB"/>
        </w:rPr>
        <w:t>Hartarska, V. (2005).</w:t>
      </w:r>
      <w:proofErr w:type="gramEnd"/>
      <w:r w:rsidRPr="00D51EF4">
        <w:rPr>
          <w:lang w:val="en-GB"/>
        </w:rPr>
        <w:t xml:space="preserve"> Governance and performance of microfinance institutions in central</w:t>
      </w:r>
    </w:p>
    <w:p w14:paraId="3D08CA73" w14:textId="77777777" w:rsidR="006A65A1" w:rsidRPr="00D51EF4" w:rsidRDefault="006A65A1" w:rsidP="006A65A1">
      <w:pPr>
        <w:autoSpaceDE w:val="0"/>
        <w:autoSpaceDN w:val="0"/>
        <w:adjustRightInd w:val="0"/>
        <w:ind w:left="720"/>
        <w:rPr>
          <w:lang w:val="en-GB"/>
        </w:rPr>
      </w:pPr>
      <w:proofErr w:type="gramStart"/>
      <w:r w:rsidRPr="00D51EF4">
        <w:rPr>
          <w:lang w:val="en-GB"/>
        </w:rPr>
        <w:t>and</w:t>
      </w:r>
      <w:proofErr w:type="gramEnd"/>
      <w:r w:rsidRPr="00D51EF4">
        <w:rPr>
          <w:lang w:val="en-GB"/>
        </w:rPr>
        <w:t xml:space="preserve"> eastern Europe and the newly independent states. </w:t>
      </w:r>
      <w:r w:rsidRPr="00D51EF4">
        <w:rPr>
          <w:i/>
          <w:iCs/>
          <w:lang w:val="en-GB"/>
        </w:rPr>
        <w:t>World Development, 33</w:t>
      </w:r>
      <w:r w:rsidRPr="00D51EF4">
        <w:rPr>
          <w:lang w:val="en-GB"/>
        </w:rPr>
        <w:t>, 1627–1648.</w:t>
      </w:r>
    </w:p>
    <w:p w14:paraId="154B6676" w14:textId="77777777" w:rsidR="006A65A1" w:rsidRPr="00D51EF4" w:rsidRDefault="006A65A1" w:rsidP="006A65A1">
      <w:pPr>
        <w:ind w:left="720" w:hanging="720"/>
        <w:rPr>
          <w:lang w:val="en-GB"/>
        </w:rPr>
      </w:pPr>
      <w:bookmarkStart w:id="12" w:name="_ENREF_24"/>
      <w:proofErr w:type="spellStart"/>
      <w:r w:rsidRPr="00D51EF4">
        <w:rPr>
          <w:lang w:val="en-GB"/>
        </w:rPr>
        <w:t>Hayn</w:t>
      </w:r>
      <w:proofErr w:type="spellEnd"/>
      <w:r w:rsidRPr="00D51EF4">
        <w:rPr>
          <w:lang w:val="en-GB"/>
        </w:rPr>
        <w:t xml:space="preserve">, C. (1995). </w:t>
      </w:r>
      <w:proofErr w:type="gramStart"/>
      <w:r w:rsidRPr="00D51EF4">
        <w:rPr>
          <w:lang w:val="en-GB"/>
        </w:rPr>
        <w:t>The information content of losses.</w:t>
      </w:r>
      <w:proofErr w:type="gramEnd"/>
      <w:r w:rsidRPr="00D51EF4">
        <w:rPr>
          <w:lang w:val="en-GB"/>
        </w:rPr>
        <w:t xml:space="preserve"> </w:t>
      </w:r>
      <w:r w:rsidRPr="00D51EF4">
        <w:rPr>
          <w:i/>
          <w:lang w:val="en-GB"/>
        </w:rPr>
        <w:t>Journal of Accounting &amp; Economics</w:t>
      </w:r>
      <w:r w:rsidRPr="00D51EF4">
        <w:rPr>
          <w:lang w:val="en-GB"/>
        </w:rPr>
        <w:t xml:space="preserve">, </w:t>
      </w:r>
      <w:r w:rsidRPr="00D51EF4">
        <w:rPr>
          <w:i/>
          <w:lang w:val="en-GB"/>
        </w:rPr>
        <w:t>20,</w:t>
      </w:r>
      <w:r w:rsidRPr="00D51EF4">
        <w:rPr>
          <w:lang w:val="en-GB"/>
        </w:rPr>
        <w:t xml:space="preserve"> 125-153.</w:t>
      </w:r>
      <w:bookmarkEnd w:id="12"/>
    </w:p>
    <w:p w14:paraId="08A677B1" w14:textId="77777777" w:rsidR="006A65A1" w:rsidRPr="00D51EF4" w:rsidRDefault="006A65A1" w:rsidP="006A65A1">
      <w:pPr>
        <w:ind w:left="720" w:hanging="720"/>
        <w:rPr>
          <w:lang w:val="en-GB"/>
        </w:rPr>
      </w:pPr>
      <w:bookmarkStart w:id="13" w:name="_ENREF_26"/>
      <w:proofErr w:type="gramStart"/>
      <w:r w:rsidRPr="00D51EF4">
        <w:rPr>
          <w:lang w:val="en-GB"/>
        </w:rPr>
        <w:lastRenderedPageBreak/>
        <w:t xml:space="preserve">Lang, M., Smith </w:t>
      </w:r>
      <w:proofErr w:type="spellStart"/>
      <w:r w:rsidRPr="00D51EF4">
        <w:rPr>
          <w:lang w:val="en-GB"/>
        </w:rPr>
        <w:t>Raedy</w:t>
      </w:r>
      <w:proofErr w:type="spellEnd"/>
      <w:r w:rsidRPr="00D51EF4">
        <w:rPr>
          <w:lang w:val="en-GB"/>
        </w:rPr>
        <w:t>, J. &amp; Wilson, W. (2006).</w:t>
      </w:r>
      <w:proofErr w:type="gramEnd"/>
      <w:r w:rsidRPr="00D51EF4">
        <w:rPr>
          <w:lang w:val="en-GB"/>
        </w:rPr>
        <w:t xml:space="preserve"> Earnings management and cross listing: Are reconciled earnings comparable to US earnings? </w:t>
      </w:r>
      <w:r w:rsidRPr="00D51EF4">
        <w:rPr>
          <w:i/>
          <w:lang w:val="en-GB"/>
        </w:rPr>
        <w:t>Journal of Accounting &amp; Economics</w:t>
      </w:r>
      <w:r w:rsidRPr="00D51EF4">
        <w:rPr>
          <w:lang w:val="en-GB"/>
        </w:rPr>
        <w:t xml:space="preserve">, </w:t>
      </w:r>
      <w:r w:rsidRPr="00D51EF4">
        <w:rPr>
          <w:i/>
          <w:lang w:val="en-GB"/>
        </w:rPr>
        <w:t>42,</w:t>
      </w:r>
      <w:r w:rsidRPr="00D51EF4">
        <w:rPr>
          <w:lang w:val="en-GB"/>
        </w:rPr>
        <w:t xml:space="preserve"> 255-283.</w:t>
      </w:r>
      <w:bookmarkEnd w:id="13"/>
    </w:p>
    <w:p w14:paraId="754A64F7" w14:textId="77777777" w:rsidR="006A65A1" w:rsidRPr="00D51EF4" w:rsidRDefault="006A65A1" w:rsidP="006A65A1">
      <w:pPr>
        <w:ind w:left="720" w:hanging="720"/>
        <w:rPr>
          <w:lang w:val="en-GB"/>
        </w:rPr>
      </w:pPr>
      <w:bookmarkStart w:id="14" w:name="_ENREF_27"/>
      <w:proofErr w:type="gramStart"/>
      <w:r w:rsidRPr="00D51EF4">
        <w:rPr>
          <w:lang w:val="en-GB"/>
        </w:rPr>
        <w:t>Manos, R. &amp; Yaron, J. (2009).</w:t>
      </w:r>
      <w:proofErr w:type="gramEnd"/>
      <w:r w:rsidRPr="00D51EF4">
        <w:rPr>
          <w:lang w:val="en-GB"/>
        </w:rPr>
        <w:t xml:space="preserve"> </w:t>
      </w:r>
      <w:proofErr w:type="gramStart"/>
      <w:r w:rsidRPr="00D51EF4">
        <w:rPr>
          <w:lang w:val="en-GB"/>
        </w:rPr>
        <w:t>Key Issues in Assessing the Performance of Microfinance Institutions.</w:t>
      </w:r>
      <w:proofErr w:type="gramEnd"/>
      <w:r w:rsidRPr="00D51EF4">
        <w:rPr>
          <w:lang w:val="en-GB"/>
        </w:rPr>
        <w:t xml:space="preserve"> </w:t>
      </w:r>
      <w:proofErr w:type="spellStart"/>
      <w:r w:rsidRPr="00D51EF4">
        <w:rPr>
          <w:i/>
          <w:lang w:val="en-GB"/>
        </w:rPr>
        <w:t>Candian</w:t>
      </w:r>
      <w:proofErr w:type="spellEnd"/>
      <w:r w:rsidRPr="00D51EF4">
        <w:rPr>
          <w:i/>
          <w:lang w:val="en-GB"/>
        </w:rPr>
        <w:t xml:space="preserve"> Journal of Development Studies</w:t>
      </w:r>
      <w:r w:rsidRPr="00D51EF4">
        <w:rPr>
          <w:lang w:val="en-GB"/>
        </w:rPr>
        <w:t xml:space="preserve">, </w:t>
      </w:r>
      <w:r w:rsidRPr="00D51EF4">
        <w:rPr>
          <w:i/>
          <w:lang w:val="en-GB"/>
        </w:rPr>
        <w:t>29</w:t>
      </w:r>
      <w:r w:rsidR="00674AE1" w:rsidRPr="00D51EF4">
        <w:rPr>
          <w:lang w:val="en-GB"/>
        </w:rPr>
        <w:t>, 101-122.</w:t>
      </w:r>
      <w:bookmarkEnd w:id="14"/>
    </w:p>
    <w:p w14:paraId="42104341" w14:textId="77777777" w:rsidR="006A65A1" w:rsidRPr="00D51EF4" w:rsidRDefault="006A65A1" w:rsidP="006A65A1">
      <w:pPr>
        <w:ind w:left="720" w:hanging="720"/>
        <w:rPr>
          <w:lang w:val="en-GB"/>
        </w:rPr>
      </w:pPr>
      <w:bookmarkStart w:id="15" w:name="_ENREF_28"/>
      <w:proofErr w:type="gramStart"/>
      <w:r w:rsidRPr="00D51EF4">
        <w:rPr>
          <w:lang w:val="en-GB"/>
        </w:rPr>
        <w:t>Melumad, N. D. &amp; Nissim, D. (2008).</w:t>
      </w:r>
      <w:proofErr w:type="gramEnd"/>
      <w:r w:rsidRPr="00D51EF4">
        <w:rPr>
          <w:lang w:val="en-GB"/>
        </w:rPr>
        <w:t xml:space="preserve"> </w:t>
      </w:r>
      <w:proofErr w:type="gramStart"/>
      <w:r w:rsidRPr="00D51EF4">
        <w:rPr>
          <w:lang w:val="en-GB"/>
        </w:rPr>
        <w:t>Line-Item Analysis of Earnings Quality.</w:t>
      </w:r>
      <w:proofErr w:type="gramEnd"/>
      <w:r w:rsidRPr="00D51EF4">
        <w:rPr>
          <w:lang w:val="en-GB"/>
        </w:rPr>
        <w:t xml:space="preserve"> </w:t>
      </w:r>
      <w:r w:rsidRPr="00D51EF4">
        <w:rPr>
          <w:i/>
          <w:lang w:val="en-GB"/>
        </w:rPr>
        <w:t>Foundations &amp; Trends in Accounting</w:t>
      </w:r>
      <w:r w:rsidRPr="00D51EF4">
        <w:rPr>
          <w:lang w:val="en-GB"/>
        </w:rPr>
        <w:t xml:space="preserve">, </w:t>
      </w:r>
      <w:r w:rsidRPr="00D51EF4">
        <w:rPr>
          <w:i/>
          <w:lang w:val="en-GB"/>
        </w:rPr>
        <w:t>3,</w:t>
      </w:r>
      <w:r w:rsidRPr="00D51EF4">
        <w:rPr>
          <w:lang w:val="en-GB"/>
        </w:rPr>
        <w:t xml:space="preserve"> 87-221.</w:t>
      </w:r>
      <w:bookmarkEnd w:id="15"/>
    </w:p>
    <w:p w14:paraId="04F0E145" w14:textId="77777777" w:rsidR="006A65A1" w:rsidRPr="00D51EF4" w:rsidRDefault="00953415" w:rsidP="006A65A1">
      <w:pPr>
        <w:autoSpaceDE w:val="0"/>
        <w:autoSpaceDN w:val="0"/>
        <w:adjustRightInd w:val="0"/>
        <w:rPr>
          <w:lang w:val="en-GB"/>
        </w:rPr>
      </w:pPr>
      <w:r w:rsidRPr="00D51EF4">
        <w:rPr>
          <w:lang w:val="en-GB"/>
        </w:rPr>
        <w:t>Mersland, R.</w:t>
      </w:r>
      <w:r w:rsidR="006A65A1" w:rsidRPr="00D51EF4">
        <w:rPr>
          <w:lang w:val="en-GB"/>
        </w:rPr>
        <w:t xml:space="preserve"> </w:t>
      </w:r>
      <w:r w:rsidRPr="00D51EF4">
        <w:rPr>
          <w:lang w:val="en-GB"/>
        </w:rPr>
        <w:t>(</w:t>
      </w:r>
      <w:r w:rsidR="006A65A1" w:rsidRPr="00D51EF4">
        <w:rPr>
          <w:lang w:val="en-GB"/>
        </w:rPr>
        <w:t>2009</w:t>
      </w:r>
      <w:r w:rsidRPr="00D51EF4">
        <w:rPr>
          <w:lang w:val="en-GB"/>
        </w:rPr>
        <w:t>)</w:t>
      </w:r>
      <w:r w:rsidR="006A65A1" w:rsidRPr="00D51EF4">
        <w:rPr>
          <w:lang w:val="en-GB"/>
        </w:rPr>
        <w:t xml:space="preserve">. </w:t>
      </w:r>
      <w:proofErr w:type="gramStart"/>
      <w:r w:rsidR="006A65A1" w:rsidRPr="00D51EF4">
        <w:rPr>
          <w:lang w:val="en-GB"/>
        </w:rPr>
        <w:t>The cost of ownership in microfinance organizations.</w:t>
      </w:r>
      <w:proofErr w:type="gramEnd"/>
      <w:r w:rsidR="006A65A1" w:rsidRPr="00D51EF4">
        <w:rPr>
          <w:lang w:val="en-GB"/>
        </w:rPr>
        <w:t xml:space="preserve"> </w:t>
      </w:r>
      <w:r w:rsidR="006A65A1" w:rsidRPr="00D51EF4">
        <w:rPr>
          <w:i/>
          <w:lang w:val="en-GB"/>
        </w:rPr>
        <w:t>World</w:t>
      </w:r>
      <w:r w:rsidR="006A65A1" w:rsidRPr="00D51EF4">
        <w:rPr>
          <w:lang w:val="en-GB"/>
        </w:rPr>
        <w:t xml:space="preserve"> </w:t>
      </w:r>
      <w:r w:rsidR="006A65A1" w:rsidRPr="00D51EF4">
        <w:rPr>
          <w:i/>
          <w:lang w:val="en-GB"/>
        </w:rPr>
        <w:t>Development,</w:t>
      </w:r>
      <w:r w:rsidR="006A65A1" w:rsidRPr="00D51EF4">
        <w:rPr>
          <w:lang w:val="en-GB"/>
        </w:rPr>
        <w:t xml:space="preserve">    </w:t>
      </w:r>
      <w:r w:rsidR="006A65A1" w:rsidRPr="00D51EF4">
        <w:rPr>
          <w:lang w:val="en-GB"/>
        </w:rPr>
        <w:tab/>
      </w:r>
      <w:r w:rsidR="006A65A1" w:rsidRPr="00D51EF4">
        <w:rPr>
          <w:i/>
          <w:lang w:val="en-GB"/>
        </w:rPr>
        <w:t>37</w:t>
      </w:r>
      <w:r w:rsidR="006A65A1" w:rsidRPr="00D51EF4">
        <w:rPr>
          <w:lang w:val="en-GB"/>
        </w:rPr>
        <w:t>, 469-478.</w:t>
      </w:r>
    </w:p>
    <w:p w14:paraId="27FEC093" w14:textId="77777777" w:rsidR="006A65A1" w:rsidRPr="00D51EF4" w:rsidRDefault="006A65A1" w:rsidP="006A65A1">
      <w:pPr>
        <w:autoSpaceDE w:val="0"/>
        <w:autoSpaceDN w:val="0"/>
        <w:adjustRightInd w:val="0"/>
        <w:rPr>
          <w:lang w:val="en-GB"/>
        </w:rPr>
      </w:pPr>
      <w:proofErr w:type="gramStart"/>
      <w:r w:rsidRPr="00D51EF4">
        <w:rPr>
          <w:lang w:val="en-GB"/>
        </w:rPr>
        <w:t>Mersland, R. and R. Ø. Strøm (2009).</w:t>
      </w:r>
      <w:proofErr w:type="gramEnd"/>
      <w:r w:rsidRPr="00D51EF4">
        <w:rPr>
          <w:lang w:val="en-GB"/>
        </w:rPr>
        <w:t xml:space="preserve"> Performance and governance in microfinance</w:t>
      </w:r>
    </w:p>
    <w:p w14:paraId="732E9D31" w14:textId="77777777" w:rsidR="006A65A1" w:rsidRPr="00D51EF4" w:rsidRDefault="006A65A1" w:rsidP="006A65A1">
      <w:pPr>
        <w:ind w:firstLine="720"/>
        <w:rPr>
          <w:lang w:val="en-GB"/>
        </w:rPr>
      </w:pPr>
      <w:proofErr w:type="gramStart"/>
      <w:r w:rsidRPr="00D51EF4">
        <w:rPr>
          <w:lang w:val="en-GB"/>
        </w:rPr>
        <w:t>institutions</w:t>
      </w:r>
      <w:proofErr w:type="gramEnd"/>
      <w:r w:rsidRPr="00D51EF4">
        <w:rPr>
          <w:lang w:val="en-GB"/>
        </w:rPr>
        <w:t xml:space="preserve">. </w:t>
      </w:r>
      <w:r w:rsidRPr="00D51EF4">
        <w:rPr>
          <w:i/>
          <w:iCs/>
          <w:lang w:val="en-GB"/>
        </w:rPr>
        <w:t>Journal of Banking &amp; Finance 33</w:t>
      </w:r>
      <w:r w:rsidRPr="00D51EF4">
        <w:rPr>
          <w:lang w:val="en-GB"/>
        </w:rPr>
        <w:t>, 662–669.</w:t>
      </w:r>
    </w:p>
    <w:p w14:paraId="5E51602D" w14:textId="77777777" w:rsidR="006A65A1" w:rsidRPr="00D51EF4" w:rsidRDefault="006A65A1" w:rsidP="006A65A1">
      <w:pPr>
        <w:ind w:left="720" w:hanging="720"/>
        <w:rPr>
          <w:lang w:val="en-GB"/>
        </w:rPr>
      </w:pPr>
      <w:bookmarkStart w:id="16" w:name="_ENREF_30"/>
      <w:proofErr w:type="gramStart"/>
      <w:r w:rsidRPr="00D51EF4">
        <w:rPr>
          <w:lang w:val="en-GB"/>
        </w:rPr>
        <w:t>Michelson, S. E. &amp; Jordan-Wagner, J. (2000).</w:t>
      </w:r>
      <w:proofErr w:type="gramEnd"/>
      <w:r w:rsidRPr="00D51EF4">
        <w:rPr>
          <w:lang w:val="en-GB"/>
        </w:rPr>
        <w:t xml:space="preserve"> </w:t>
      </w:r>
      <w:proofErr w:type="gramStart"/>
      <w:r w:rsidRPr="00D51EF4">
        <w:rPr>
          <w:lang w:val="en-GB"/>
        </w:rPr>
        <w:t>The Relationship between the Smoothing of Reported Income and Risk-Adjusted Returns.</w:t>
      </w:r>
      <w:proofErr w:type="gramEnd"/>
      <w:r w:rsidRPr="00D51EF4">
        <w:rPr>
          <w:lang w:val="en-GB"/>
        </w:rPr>
        <w:t xml:space="preserve"> </w:t>
      </w:r>
      <w:proofErr w:type="gramStart"/>
      <w:r w:rsidRPr="00D51EF4">
        <w:rPr>
          <w:i/>
          <w:lang w:val="en-GB"/>
        </w:rPr>
        <w:t>Journal of Economics &amp; Finance</w:t>
      </w:r>
      <w:r w:rsidRPr="00D51EF4">
        <w:rPr>
          <w:lang w:val="en-GB"/>
        </w:rPr>
        <w:t xml:space="preserve">, </w:t>
      </w:r>
      <w:r w:rsidRPr="00D51EF4">
        <w:rPr>
          <w:i/>
          <w:lang w:val="en-GB"/>
        </w:rPr>
        <w:t>24,</w:t>
      </w:r>
      <w:r w:rsidRPr="00D51EF4">
        <w:rPr>
          <w:lang w:val="en-GB"/>
        </w:rPr>
        <w:t xml:space="preserve"> 141.</w:t>
      </w:r>
      <w:bookmarkEnd w:id="16"/>
      <w:proofErr w:type="gramEnd"/>
    </w:p>
    <w:p w14:paraId="72E39674" w14:textId="77777777" w:rsidR="0041143A" w:rsidRPr="00D51EF4" w:rsidRDefault="006A65A1" w:rsidP="006A65A1">
      <w:pPr>
        <w:ind w:left="720" w:hanging="720"/>
        <w:rPr>
          <w:lang w:val="en-GB"/>
        </w:rPr>
      </w:pPr>
      <w:proofErr w:type="gramStart"/>
      <w:r w:rsidRPr="00D51EF4">
        <w:rPr>
          <w:lang w:val="en-GB"/>
        </w:rPr>
        <w:t xml:space="preserve">Perrileux, A., Hudon, M., &amp; </w:t>
      </w:r>
      <w:proofErr w:type="spellStart"/>
      <w:r w:rsidRPr="00D51EF4">
        <w:rPr>
          <w:lang w:val="en-GB"/>
        </w:rPr>
        <w:t>Bloy</w:t>
      </w:r>
      <w:proofErr w:type="spellEnd"/>
      <w:r w:rsidRPr="00D51EF4">
        <w:rPr>
          <w:lang w:val="en-GB"/>
        </w:rPr>
        <w:t>, E. (201</w:t>
      </w:r>
      <w:r w:rsidR="001363DD" w:rsidRPr="00D51EF4">
        <w:rPr>
          <w:lang w:val="en-GB"/>
        </w:rPr>
        <w:t>2</w:t>
      </w:r>
      <w:r w:rsidRPr="00D51EF4">
        <w:rPr>
          <w:lang w:val="en-GB"/>
        </w:rPr>
        <w:t>).</w:t>
      </w:r>
      <w:proofErr w:type="gramEnd"/>
      <w:r w:rsidRPr="00D51EF4">
        <w:rPr>
          <w:lang w:val="en-GB"/>
        </w:rPr>
        <w:t xml:space="preserve"> </w:t>
      </w:r>
      <w:proofErr w:type="gramStart"/>
      <w:r w:rsidRPr="00D51EF4">
        <w:rPr>
          <w:lang w:val="en-GB"/>
        </w:rPr>
        <w:t xml:space="preserve">Surplus Distribution in Microfinance: Differences among Cooperative, </w:t>
      </w:r>
      <w:proofErr w:type="spellStart"/>
      <w:r w:rsidRPr="00D51EF4">
        <w:rPr>
          <w:lang w:val="en-GB"/>
        </w:rPr>
        <w:t>Nonprofit</w:t>
      </w:r>
      <w:proofErr w:type="spellEnd"/>
      <w:r w:rsidRPr="00D51EF4">
        <w:rPr>
          <w:lang w:val="en-GB"/>
        </w:rPr>
        <w:t>, and Shareholder Forms of Ownership.</w:t>
      </w:r>
      <w:proofErr w:type="gramEnd"/>
      <w:r w:rsidRPr="00D51EF4">
        <w:rPr>
          <w:lang w:val="en-GB"/>
        </w:rPr>
        <w:t xml:space="preserve"> </w:t>
      </w:r>
      <w:proofErr w:type="spellStart"/>
      <w:r w:rsidRPr="00D51EF4">
        <w:rPr>
          <w:i/>
          <w:lang w:val="en-GB"/>
        </w:rPr>
        <w:t>Nonprofit</w:t>
      </w:r>
      <w:proofErr w:type="spellEnd"/>
      <w:r w:rsidRPr="00D51EF4">
        <w:rPr>
          <w:i/>
          <w:lang w:val="en-GB"/>
        </w:rPr>
        <w:t xml:space="preserve"> and Voluntary Sector Quarterly</w:t>
      </w:r>
      <w:r w:rsidR="001363DD" w:rsidRPr="00D51EF4">
        <w:rPr>
          <w:i/>
          <w:lang w:val="en-GB"/>
        </w:rPr>
        <w:t xml:space="preserve">, 41, </w:t>
      </w:r>
      <w:r w:rsidR="001363DD" w:rsidRPr="00D51EF4">
        <w:rPr>
          <w:lang w:val="en-GB"/>
        </w:rPr>
        <w:t>386-404</w:t>
      </w:r>
      <w:r w:rsidRPr="00D51EF4">
        <w:rPr>
          <w:lang w:val="en-GB"/>
        </w:rPr>
        <w:t xml:space="preserve">. </w:t>
      </w:r>
    </w:p>
    <w:p w14:paraId="200FE6DD" w14:textId="77777777" w:rsidR="006A65A1" w:rsidRPr="00D51EF4" w:rsidRDefault="006A65A1" w:rsidP="006A65A1">
      <w:pPr>
        <w:ind w:left="720" w:hanging="720"/>
        <w:rPr>
          <w:lang w:val="en-GB"/>
        </w:rPr>
      </w:pPr>
      <w:bookmarkStart w:id="17" w:name="_ENREF_32"/>
      <w:proofErr w:type="gramStart"/>
      <w:r w:rsidRPr="00D51EF4">
        <w:rPr>
          <w:lang w:val="en-GB"/>
        </w:rPr>
        <w:t>Pinnuck, M., &amp; Potter, B. N. (2009).</w:t>
      </w:r>
      <w:proofErr w:type="gramEnd"/>
      <w:r w:rsidRPr="00D51EF4">
        <w:rPr>
          <w:lang w:val="en-GB"/>
        </w:rPr>
        <w:t xml:space="preserve"> </w:t>
      </w:r>
      <w:proofErr w:type="gramStart"/>
      <w:r w:rsidRPr="00D51EF4">
        <w:rPr>
          <w:lang w:val="en-GB"/>
        </w:rPr>
        <w:t>The quality and conservatism of the accounting earnings of local governments.</w:t>
      </w:r>
      <w:proofErr w:type="gramEnd"/>
      <w:r w:rsidRPr="00D51EF4">
        <w:rPr>
          <w:lang w:val="en-GB"/>
        </w:rPr>
        <w:t xml:space="preserve"> </w:t>
      </w:r>
      <w:r w:rsidRPr="00D51EF4">
        <w:rPr>
          <w:i/>
          <w:lang w:val="en-GB"/>
        </w:rPr>
        <w:t>Journal of Accounting &amp; Public Policy, 28</w:t>
      </w:r>
      <w:r w:rsidRPr="00D51EF4">
        <w:rPr>
          <w:lang w:val="en-GB"/>
        </w:rPr>
        <w:t>, 525-540.</w:t>
      </w:r>
      <w:bookmarkEnd w:id="17"/>
    </w:p>
    <w:p w14:paraId="1D18768B" w14:textId="77777777" w:rsidR="006A65A1" w:rsidRPr="00D51EF4" w:rsidRDefault="006A65A1" w:rsidP="006A65A1">
      <w:pPr>
        <w:ind w:left="720" w:hanging="720"/>
        <w:rPr>
          <w:lang w:val="en-GB"/>
        </w:rPr>
      </w:pPr>
      <w:proofErr w:type="spellStart"/>
      <w:r w:rsidRPr="005E5F57">
        <w:t>Reille</w:t>
      </w:r>
      <w:proofErr w:type="spellEnd"/>
      <w:r w:rsidRPr="005E5F57">
        <w:t xml:space="preserve">, X., </w:t>
      </w:r>
      <w:proofErr w:type="spellStart"/>
      <w:r w:rsidRPr="005E5F57">
        <w:t>Sananikone</w:t>
      </w:r>
      <w:proofErr w:type="spellEnd"/>
      <w:r w:rsidRPr="005E5F57">
        <w:t xml:space="preserve"> O., </w:t>
      </w:r>
      <w:proofErr w:type="spellStart"/>
      <w:r w:rsidRPr="005E5F57">
        <w:t>Helms</w:t>
      </w:r>
      <w:proofErr w:type="spellEnd"/>
      <w:r w:rsidRPr="005E5F57">
        <w:t xml:space="preserve"> B. (2002). </w:t>
      </w:r>
      <w:proofErr w:type="gramStart"/>
      <w:r w:rsidRPr="00D51EF4">
        <w:rPr>
          <w:lang w:val="en-GB"/>
        </w:rPr>
        <w:t>Comparing microfinance assessment methodologies.</w:t>
      </w:r>
      <w:proofErr w:type="gramEnd"/>
      <w:r w:rsidRPr="00D51EF4">
        <w:rPr>
          <w:lang w:val="en-GB"/>
        </w:rPr>
        <w:t xml:space="preserve"> </w:t>
      </w:r>
      <w:r w:rsidRPr="00D51EF4">
        <w:rPr>
          <w:i/>
          <w:lang w:val="en-GB"/>
        </w:rPr>
        <w:t>Small Enterprise Development, 13</w:t>
      </w:r>
      <w:r w:rsidRPr="00D51EF4">
        <w:rPr>
          <w:lang w:val="en-GB"/>
        </w:rPr>
        <w:t>, 10-19</w:t>
      </w:r>
    </w:p>
    <w:p w14:paraId="4E886632" w14:textId="77777777" w:rsidR="006A65A1" w:rsidRPr="00D51EF4" w:rsidRDefault="006A65A1" w:rsidP="006A65A1">
      <w:pPr>
        <w:ind w:left="720" w:hanging="720"/>
        <w:rPr>
          <w:lang w:val="en-GB"/>
        </w:rPr>
      </w:pPr>
      <w:r w:rsidRPr="00D51EF4">
        <w:rPr>
          <w:lang w:val="en-GB"/>
        </w:rPr>
        <w:t xml:space="preserve">Schipper, K. (1989). </w:t>
      </w:r>
      <w:proofErr w:type="gramStart"/>
      <w:r w:rsidRPr="00D51EF4">
        <w:rPr>
          <w:lang w:val="en-GB"/>
        </w:rPr>
        <w:t>COMMENTARY on Earnings Management.</w:t>
      </w:r>
      <w:proofErr w:type="gramEnd"/>
      <w:r w:rsidRPr="00D51EF4">
        <w:rPr>
          <w:lang w:val="en-GB"/>
        </w:rPr>
        <w:t xml:space="preserve"> </w:t>
      </w:r>
      <w:proofErr w:type="gramStart"/>
      <w:r w:rsidRPr="00D51EF4">
        <w:rPr>
          <w:i/>
          <w:lang w:val="en-GB"/>
        </w:rPr>
        <w:t>Accounting Horizons</w:t>
      </w:r>
      <w:r w:rsidRPr="00D51EF4">
        <w:rPr>
          <w:lang w:val="en-GB"/>
        </w:rPr>
        <w:t xml:space="preserve">, </w:t>
      </w:r>
      <w:r w:rsidRPr="00D51EF4">
        <w:rPr>
          <w:i/>
          <w:lang w:val="en-GB"/>
        </w:rPr>
        <w:t>3,</w:t>
      </w:r>
      <w:r w:rsidRPr="00D51EF4">
        <w:rPr>
          <w:lang w:val="en-GB"/>
        </w:rPr>
        <w:t xml:space="preserve"> 91-102.</w:t>
      </w:r>
      <w:proofErr w:type="gramEnd"/>
    </w:p>
    <w:p w14:paraId="61C572BD" w14:textId="77777777" w:rsidR="006A65A1" w:rsidRPr="00D51EF4" w:rsidRDefault="006A65A1" w:rsidP="006A65A1">
      <w:pPr>
        <w:ind w:left="720" w:hanging="720"/>
        <w:rPr>
          <w:lang w:val="en-GB"/>
        </w:rPr>
      </w:pPr>
      <w:bookmarkStart w:id="18" w:name="_ENREF_33"/>
      <w:proofErr w:type="gramStart"/>
      <w:r w:rsidRPr="00D51EF4">
        <w:rPr>
          <w:lang w:val="en-GB"/>
        </w:rPr>
        <w:t>Schipper, K. &amp; Vincent, L. (2003).</w:t>
      </w:r>
      <w:proofErr w:type="gramEnd"/>
      <w:r w:rsidRPr="00D51EF4">
        <w:rPr>
          <w:lang w:val="en-GB"/>
        </w:rPr>
        <w:t xml:space="preserve"> </w:t>
      </w:r>
      <w:proofErr w:type="gramStart"/>
      <w:r w:rsidRPr="00D51EF4">
        <w:rPr>
          <w:lang w:val="en-GB"/>
        </w:rPr>
        <w:t>Earnings Quality.</w:t>
      </w:r>
      <w:proofErr w:type="gramEnd"/>
      <w:r w:rsidRPr="00D51EF4">
        <w:rPr>
          <w:lang w:val="en-GB"/>
        </w:rPr>
        <w:t xml:space="preserve"> </w:t>
      </w:r>
      <w:proofErr w:type="gramStart"/>
      <w:r w:rsidRPr="00D51EF4">
        <w:rPr>
          <w:i/>
          <w:lang w:val="en-GB"/>
        </w:rPr>
        <w:t>Accounting Horizons</w:t>
      </w:r>
      <w:r w:rsidRPr="00D51EF4">
        <w:rPr>
          <w:lang w:val="en-GB"/>
        </w:rPr>
        <w:t xml:space="preserve">, </w:t>
      </w:r>
      <w:r w:rsidRPr="00D51EF4">
        <w:rPr>
          <w:i/>
          <w:lang w:val="en-GB"/>
        </w:rPr>
        <w:t>17,</w:t>
      </w:r>
      <w:r w:rsidRPr="00D51EF4">
        <w:rPr>
          <w:lang w:val="en-GB"/>
        </w:rPr>
        <w:t xml:space="preserve"> 97-110.</w:t>
      </w:r>
      <w:bookmarkEnd w:id="18"/>
      <w:proofErr w:type="gramEnd"/>
    </w:p>
    <w:p w14:paraId="6ECFB00C" w14:textId="77777777" w:rsidR="006A65A1" w:rsidRPr="00D51EF4" w:rsidRDefault="006A65A1" w:rsidP="006A65A1">
      <w:pPr>
        <w:ind w:left="720" w:hanging="720"/>
        <w:rPr>
          <w:lang w:val="en-GB"/>
        </w:rPr>
      </w:pPr>
      <w:bookmarkStart w:id="19" w:name="_ENREF_36"/>
      <w:r w:rsidRPr="00D51EF4">
        <w:rPr>
          <w:lang w:val="en-GB"/>
        </w:rPr>
        <w:t xml:space="preserve">Sloan, R. G. (1996). Do Stock Prices Fully Reflect Information in Accruals and Cash Flows About Future Earnings? </w:t>
      </w:r>
      <w:proofErr w:type="gramStart"/>
      <w:r w:rsidRPr="00D51EF4">
        <w:rPr>
          <w:i/>
          <w:lang w:val="en-GB"/>
        </w:rPr>
        <w:t>Accounting Review</w:t>
      </w:r>
      <w:r w:rsidRPr="00D51EF4">
        <w:rPr>
          <w:lang w:val="en-GB"/>
        </w:rPr>
        <w:t xml:space="preserve">, </w:t>
      </w:r>
      <w:r w:rsidRPr="00D51EF4">
        <w:rPr>
          <w:i/>
          <w:lang w:val="en-GB"/>
        </w:rPr>
        <w:t>71,</w:t>
      </w:r>
      <w:r w:rsidRPr="00D51EF4">
        <w:rPr>
          <w:lang w:val="en-GB"/>
        </w:rPr>
        <w:t xml:space="preserve"> 289-315.</w:t>
      </w:r>
      <w:bookmarkEnd w:id="19"/>
      <w:proofErr w:type="gramEnd"/>
    </w:p>
    <w:p w14:paraId="30A1B213" w14:textId="77777777" w:rsidR="009F458B" w:rsidRPr="00D51EF4" w:rsidRDefault="009F458B" w:rsidP="006A65A1">
      <w:pPr>
        <w:ind w:left="720" w:hanging="720"/>
        <w:rPr>
          <w:lang w:val="en-GB"/>
        </w:rPr>
      </w:pPr>
      <w:r w:rsidRPr="00D51EF4">
        <w:rPr>
          <w:lang w:val="en-GB"/>
        </w:rPr>
        <w:t xml:space="preserve">Trussel, J. M. (2002). </w:t>
      </w:r>
      <w:proofErr w:type="gramStart"/>
      <w:r w:rsidRPr="00D51EF4">
        <w:rPr>
          <w:lang w:val="en-GB"/>
        </w:rPr>
        <w:t>Revisiting the Prediction of Financial Vulnerability.</w:t>
      </w:r>
      <w:proofErr w:type="gramEnd"/>
      <w:r w:rsidRPr="00D51EF4">
        <w:rPr>
          <w:i/>
          <w:lang w:val="en-GB"/>
        </w:rPr>
        <w:t xml:space="preserve"> Non-Profit Management and Leadership, 13</w:t>
      </w:r>
      <w:r w:rsidRPr="00D51EF4">
        <w:rPr>
          <w:lang w:val="en-GB"/>
        </w:rPr>
        <w:t>, 17-31.</w:t>
      </w:r>
    </w:p>
    <w:p w14:paraId="4639442A" w14:textId="77777777" w:rsidR="009F458B" w:rsidRPr="00D51EF4" w:rsidRDefault="009F458B" w:rsidP="006A65A1">
      <w:pPr>
        <w:ind w:left="720" w:hanging="720"/>
        <w:rPr>
          <w:lang w:val="en-GB"/>
        </w:rPr>
      </w:pPr>
      <w:r w:rsidRPr="00D51EF4">
        <w:rPr>
          <w:lang w:val="en-GB"/>
        </w:rPr>
        <w:t xml:space="preserve">Trussel, J. M. (2003). </w:t>
      </w:r>
      <w:proofErr w:type="gramStart"/>
      <w:r w:rsidRPr="00D51EF4">
        <w:rPr>
          <w:lang w:val="en-GB"/>
        </w:rPr>
        <w:t>Assessing Potential Accounting Manipulation: the Financial Characteristics of Charitable Organizations with Higher than Expected Program-Spending Ratios.</w:t>
      </w:r>
      <w:proofErr w:type="gramEnd"/>
      <w:r w:rsidRPr="00D51EF4">
        <w:rPr>
          <w:lang w:val="en-GB"/>
        </w:rPr>
        <w:t xml:space="preserve"> </w:t>
      </w:r>
      <w:proofErr w:type="spellStart"/>
      <w:r w:rsidRPr="00D51EF4">
        <w:rPr>
          <w:i/>
          <w:lang w:val="en-GB"/>
        </w:rPr>
        <w:t>Nonprofit</w:t>
      </w:r>
      <w:proofErr w:type="spellEnd"/>
      <w:r w:rsidRPr="00D51EF4">
        <w:rPr>
          <w:i/>
          <w:lang w:val="en-GB"/>
        </w:rPr>
        <w:t xml:space="preserve"> and Voluntary Sector Quarterly, 32</w:t>
      </w:r>
      <w:r w:rsidRPr="00D51EF4">
        <w:rPr>
          <w:lang w:val="en-GB"/>
        </w:rPr>
        <w:t>, 616-634.</w:t>
      </w:r>
    </w:p>
    <w:p w14:paraId="1DF8E11E" w14:textId="77777777" w:rsidR="0058477E" w:rsidRPr="00D51EF4" w:rsidRDefault="0058477E" w:rsidP="00534D3B">
      <w:pPr>
        <w:spacing w:line="480" w:lineRule="auto"/>
        <w:jc w:val="both"/>
        <w:rPr>
          <w:lang w:val="en-GB"/>
        </w:rPr>
      </w:pPr>
    </w:p>
    <w:p w14:paraId="6FE0F7EA" w14:textId="77777777" w:rsidR="0058711C" w:rsidRPr="00D51EF4" w:rsidRDefault="0058711C">
      <w:pPr>
        <w:spacing w:after="200" w:line="276" w:lineRule="auto"/>
        <w:rPr>
          <w:lang w:val="en-GB"/>
        </w:rPr>
        <w:sectPr w:rsidR="0058711C" w:rsidRPr="00D51EF4" w:rsidSect="0041242A">
          <w:footerReference w:type="default" r:id="rId10"/>
          <w:pgSz w:w="12240" w:h="15840"/>
          <w:pgMar w:top="1417" w:right="1417" w:bottom="1417" w:left="1417" w:header="708" w:footer="708" w:gutter="0"/>
          <w:cols w:space="708"/>
          <w:docGrid w:linePitch="360"/>
        </w:sectPr>
      </w:pPr>
    </w:p>
    <w:p w14:paraId="2493B8CE" w14:textId="77777777" w:rsidR="00BB5105" w:rsidRPr="00D51EF4" w:rsidRDefault="00BB5105">
      <w:pPr>
        <w:spacing w:after="200" w:line="276" w:lineRule="auto"/>
        <w:rPr>
          <w:lang w:val="en-GB"/>
        </w:rPr>
      </w:pPr>
      <w:r w:rsidRPr="00D51EF4">
        <w:rPr>
          <w:lang w:val="en-GB"/>
        </w:rPr>
        <w:lastRenderedPageBreak/>
        <w:br w:type="page"/>
      </w:r>
    </w:p>
    <w:p w14:paraId="522586C9" w14:textId="77777777" w:rsidR="0058711C" w:rsidRPr="00D51EF4" w:rsidRDefault="0058711C" w:rsidP="00A845F0">
      <w:pPr>
        <w:spacing w:line="480" w:lineRule="auto"/>
        <w:rPr>
          <w:b/>
          <w:i/>
          <w:lang w:val="en-GB"/>
        </w:rPr>
      </w:pPr>
      <w:r w:rsidRPr="00D51EF4">
        <w:rPr>
          <w:b/>
          <w:i/>
          <w:lang w:val="en-GB"/>
        </w:rPr>
        <w:lastRenderedPageBreak/>
        <w:t>Table 1: Earnings Quality M</w:t>
      </w:r>
      <w:r w:rsidR="00C7367A" w:rsidRPr="00D51EF4">
        <w:rPr>
          <w:b/>
          <w:i/>
          <w:lang w:val="en-GB"/>
        </w:rPr>
        <w:t>etrics</w:t>
      </w:r>
    </w:p>
    <w:p w14:paraId="04B09F98" w14:textId="77777777" w:rsidR="0058711C" w:rsidRPr="00D51EF4" w:rsidRDefault="0058711C" w:rsidP="00A845F0">
      <w:pPr>
        <w:spacing w:line="480" w:lineRule="auto"/>
        <w:rPr>
          <w:lang w:val="en-GB"/>
        </w:rPr>
      </w:pPr>
      <w:r w:rsidRPr="00D51EF4">
        <w:rPr>
          <w:noProof/>
        </w:rPr>
        <w:drawing>
          <wp:inline distT="0" distB="0" distL="0" distR="0" wp14:anchorId="0EB25246" wp14:editId="6A0B06BE">
            <wp:extent cx="8257540" cy="3881044"/>
            <wp:effectExtent l="0" t="0" r="0" b="571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7540" cy="3881044"/>
                    </a:xfrm>
                    <a:prstGeom prst="rect">
                      <a:avLst/>
                    </a:prstGeom>
                    <a:noFill/>
                    <a:ln>
                      <a:noFill/>
                    </a:ln>
                  </pic:spPr>
                </pic:pic>
              </a:graphicData>
            </a:graphic>
          </wp:inline>
        </w:drawing>
      </w:r>
    </w:p>
    <w:p w14:paraId="06E74424" w14:textId="77777777" w:rsidR="00C7367A" w:rsidRPr="00D51EF4" w:rsidRDefault="00C7367A" w:rsidP="00C7367A">
      <w:pPr>
        <w:autoSpaceDE w:val="0"/>
        <w:autoSpaceDN w:val="0"/>
        <w:adjustRightInd w:val="0"/>
        <w:jc w:val="both"/>
        <w:rPr>
          <w:lang w:val="en-GB"/>
        </w:rPr>
      </w:pPr>
      <w:r w:rsidRPr="00D51EF4">
        <w:rPr>
          <w:sz w:val="20"/>
          <w:szCs w:val="20"/>
          <w:lang w:val="en-GB"/>
        </w:rPr>
        <w:t>Table 1 defines the earnings quality metrics applied in this study and outlines the measurement of the metrics.</w:t>
      </w:r>
    </w:p>
    <w:p w14:paraId="712DDC36" w14:textId="77777777" w:rsidR="0058711C" w:rsidRPr="00D51EF4" w:rsidRDefault="0058711C" w:rsidP="00A845F0">
      <w:pPr>
        <w:spacing w:line="480" w:lineRule="auto"/>
        <w:rPr>
          <w:lang w:val="en-GB"/>
        </w:rPr>
        <w:sectPr w:rsidR="0058711C" w:rsidRPr="00D51EF4" w:rsidSect="0058711C">
          <w:pgSz w:w="15840" w:h="12240" w:orient="landscape"/>
          <w:pgMar w:top="1418" w:right="1418" w:bottom="1418" w:left="1418" w:header="709" w:footer="709" w:gutter="0"/>
          <w:cols w:space="708"/>
          <w:docGrid w:linePitch="360"/>
        </w:sectPr>
      </w:pPr>
    </w:p>
    <w:p w14:paraId="0765FA3C" w14:textId="77777777" w:rsidR="00BB5105" w:rsidRPr="00D51EF4" w:rsidRDefault="00BB5105" w:rsidP="00534D3B">
      <w:pPr>
        <w:spacing w:line="480" w:lineRule="auto"/>
        <w:jc w:val="both"/>
        <w:rPr>
          <w:lang w:val="en-GB"/>
        </w:rPr>
      </w:pPr>
    </w:p>
    <w:p w14:paraId="6E3D7196" w14:textId="1014C0EA" w:rsidR="00725FED" w:rsidRPr="00D51EF4" w:rsidRDefault="00725FED" w:rsidP="00725FED">
      <w:pPr>
        <w:autoSpaceDE w:val="0"/>
        <w:autoSpaceDN w:val="0"/>
        <w:adjustRightInd w:val="0"/>
        <w:spacing w:line="480" w:lineRule="auto"/>
        <w:rPr>
          <w:b/>
          <w:i/>
          <w:lang w:val="en-GB"/>
        </w:rPr>
      </w:pPr>
      <w:r w:rsidRPr="00D51EF4">
        <w:rPr>
          <w:b/>
          <w:i/>
          <w:lang w:val="en-GB"/>
        </w:rPr>
        <w:t xml:space="preserve">Table </w:t>
      </w:r>
      <w:r w:rsidR="00A1711B" w:rsidRPr="00D51EF4">
        <w:rPr>
          <w:b/>
          <w:i/>
          <w:lang w:val="en-GB"/>
        </w:rPr>
        <w:t>2</w:t>
      </w:r>
      <w:r w:rsidR="007E28B9">
        <w:rPr>
          <w:b/>
          <w:i/>
          <w:lang w:val="en-GB"/>
        </w:rPr>
        <w:t xml:space="preserve">: Characteristics of </w:t>
      </w:r>
      <w:proofErr w:type="spellStart"/>
      <w:r w:rsidR="007E28B9">
        <w:rPr>
          <w:b/>
          <w:i/>
          <w:lang w:val="en-GB"/>
        </w:rPr>
        <w:t>non</w:t>
      </w:r>
      <w:r w:rsidRPr="00D51EF4">
        <w:rPr>
          <w:b/>
          <w:i/>
          <w:lang w:val="en-GB"/>
        </w:rPr>
        <w:t>profit</w:t>
      </w:r>
      <w:proofErr w:type="spellEnd"/>
      <w:r w:rsidRPr="00D51EF4">
        <w:rPr>
          <w:b/>
          <w:i/>
          <w:lang w:val="en-GB"/>
        </w:rPr>
        <w:t xml:space="preserve"> versus for-profit </w:t>
      </w:r>
      <w:r w:rsidR="00EF01BC" w:rsidRPr="00D51EF4">
        <w:rPr>
          <w:b/>
          <w:i/>
          <w:lang w:val="en-GB"/>
        </w:rPr>
        <w:t>MFIs</w:t>
      </w:r>
    </w:p>
    <w:p w14:paraId="463B849F" w14:textId="77777777" w:rsidR="00725FED" w:rsidRPr="00D51EF4" w:rsidRDefault="00725FED" w:rsidP="00BB5105">
      <w:pPr>
        <w:autoSpaceDE w:val="0"/>
        <w:autoSpaceDN w:val="0"/>
        <w:adjustRightInd w:val="0"/>
        <w:spacing w:line="480" w:lineRule="auto"/>
        <w:rPr>
          <w:b/>
          <w:i/>
          <w:lang w:val="en-GB"/>
        </w:rPr>
      </w:pPr>
    </w:p>
    <w:tbl>
      <w:tblPr>
        <w:tblW w:w="9700" w:type="dxa"/>
        <w:tblInd w:w="93" w:type="dxa"/>
        <w:tblLook w:val="04A0" w:firstRow="1" w:lastRow="0" w:firstColumn="1" w:lastColumn="0" w:noHBand="0" w:noVBand="1"/>
      </w:tblPr>
      <w:tblGrid>
        <w:gridCol w:w="1575"/>
        <w:gridCol w:w="4110"/>
        <w:gridCol w:w="4015"/>
      </w:tblGrid>
      <w:tr w:rsidR="00725FED" w:rsidRPr="00D51EF4" w14:paraId="60A2971C" w14:textId="77777777" w:rsidTr="00725FED">
        <w:trPr>
          <w:trHeight w:val="300"/>
        </w:trPr>
        <w:tc>
          <w:tcPr>
            <w:tcW w:w="1575" w:type="dxa"/>
            <w:tcBorders>
              <w:top w:val="nil"/>
              <w:left w:val="nil"/>
              <w:bottom w:val="nil"/>
              <w:right w:val="nil"/>
            </w:tcBorders>
            <w:shd w:val="clear" w:color="auto" w:fill="auto"/>
            <w:noWrap/>
            <w:vAlign w:val="bottom"/>
            <w:hideMark/>
          </w:tcPr>
          <w:p w14:paraId="745BAEC9" w14:textId="77777777" w:rsidR="00725FED" w:rsidRPr="00D51EF4" w:rsidRDefault="00725FED" w:rsidP="00725FED">
            <w:pPr>
              <w:rPr>
                <w:rFonts w:ascii="Calibri" w:hAnsi="Calibri" w:cs="Calibri"/>
                <w:color w:val="000000"/>
                <w:lang w:val="en-GB" w:eastAsia="en-US"/>
              </w:rPr>
            </w:pPr>
          </w:p>
        </w:tc>
        <w:tc>
          <w:tcPr>
            <w:tcW w:w="4110" w:type="dxa"/>
            <w:tcBorders>
              <w:top w:val="nil"/>
              <w:left w:val="single" w:sz="4" w:space="0" w:color="auto"/>
              <w:bottom w:val="single" w:sz="4" w:space="0" w:color="auto"/>
              <w:right w:val="nil"/>
            </w:tcBorders>
            <w:shd w:val="clear" w:color="auto" w:fill="auto"/>
            <w:noWrap/>
            <w:vAlign w:val="bottom"/>
            <w:hideMark/>
          </w:tcPr>
          <w:p w14:paraId="7C4D4BDA" w14:textId="486DAEBF" w:rsidR="00725FED" w:rsidRPr="00D51EF4" w:rsidRDefault="007E28B9" w:rsidP="00725FED">
            <w:pPr>
              <w:rPr>
                <w:rFonts w:ascii="Calibri" w:hAnsi="Calibri" w:cs="Calibri"/>
                <w:b/>
                <w:bCs/>
                <w:color w:val="000000"/>
                <w:lang w:val="en-GB" w:eastAsia="en-US"/>
              </w:rPr>
            </w:pPr>
            <w:proofErr w:type="spellStart"/>
            <w:r>
              <w:rPr>
                <w:rFonts w:ascii="Calibri" w:hAnsi="Calibri" w:cs="Calibri"/>
                <w:b/>
                <w:bCs/>
                <w:color w:val="000000"/>
                <w:sz w:val="22"/>
                <w:szCs w:val="22"/>
                <w:lang w:val="en-GB" w:eastAsia="en-US"/>
              </w:rPr>
              <w:t>Non</w:t>
            </w:r>
            <w:r w:rsidR="00725FED" w:rsidRPr="00D51EF4">
              <w:rPr>
                <w:rFonts w:ascii="Calibri" w:hAnsi="Calibri" w:cs="Calibri"/>
                <w:b/>
                <w:bCs/>
                <w:color w:val="000000"/>
                <w:sz w:val="22"/>
                <w:szCs w:val="22"/>
                <w:lang w:val="en-GB" w:eastAsia="en-US"/>
              </w:rPr>
              <w:t>profit</w:t>
            </w:r>
            <w:proofErr w:type="spellEnd"/>
            <w:r w:rsidR="00725FED" w:rsidRPr="00D51EF4">
              <w:rPr>
                <w:rFonts w:ascii="Calibri" w:hAnsi="Calibri" w:cs="Calibri"/>
                <w:b/>
                <w:bCs/>
                <w:color w:val="000000"/>
                <w:sz w:val="22"/>
                <w:szCs w:val="22"/>
                <w:lang w:val="en-GB" w:eastAsia="en-US"/>
              </w:rPr>
              <w:t xml:space="preserve"> MFIs</w:t>
            </w:r>
          </w:p>
        </w:tc>
        <w:tc>
          <w:tcPr>
            <w:tcW w:w="4015" w:type="dxa"/>
            <w:tcBorders>
              <w:top w:val="nil"/>
              <w:left w:val="single" w:sz="4" w:space="0" w:color="auto"/>
              <w:bottom w:val="single" w:sz="4" w:space="0" w:color="auto"/>
              <w:right w:val="nil"/>
            </w:tcBorders>
            <w:shd w:val="clear" w:color="auto" w:fill="auto"/>
            <w:noWrap/>
            <w:vAlign w:val="bottom"/>
            <w:hideMark/>
          </w:tcPr>
          <w:p w14:paraId="3C63EDB2" w14:textId="77777777" w:rsidR="00725FED" w:rsidRPr="00D51EF4" w:rsidRDefault="00725FED" w:rsidP="00725FED">
            <w:pPr>
              <w:rPr>
                <w:rFonts w:ascii="Calibri" w:hAnsi="Calibri" w:cs="Calibri"/>
                <w:b/>
                <w:bCs/>
                <w:color w:val="000000"/>
                <w:lang w:val="en-GB" w:eastAsia="en-US"/>
              </w:rPr>
            </w:pPr>
            <w:r w:rsidRPr="00D51EF4">
              <w:rPr>
                <w:rFonts w:ascii="Calibri" w:hAnsi="Calibri" w:cs="Calibri"/>
                <w:b/>
                <w:bCs/>
                <w:color w:val="000000"/>
                <w:sz w:val="22"/>
                <w:szCs w:val="22"/>
                <w:lang w:val="en-GB" w:eastAsia="en-US"/>
              </w:rPr>
              <w:t>For-profit MFIs</w:t>
            </w:r>
          </w:p>
        </w:tc>
      </w:tr>
      <w:tr w:rsidR="00725FED" w:rsidRPr="00D51EF4" w14:paraId="558734B0" w14:textId="77777777" w:rsidTr="00725FED">
        <w:trPr>
          <w:trHeight w:val="300"/>
        </w:trPr>
        <w:tc>
          <w:tcPr>
            <w:tcW w:w="1575" w:type="dxa"/>
            <w:tcBorders>
              <w:top w:val="nil"/>
              <w:left w:val="nil"/>
              <w:bottom w:val="nil"/>
              <w:right w:val="nil"/>
            </w:tcBorders>
            <w:shd w:val="clear" w:color="auto" w:fill="auto"/>
            <w:noWrap/>
            <w:vAlign w:val="bottom"/>
            <w:hideMark/>
          </w:tcPr>
          <w:p w14:paraId="588BF805" w14:textId="77777777" w:rsidR="00725FED" w:rsidRPr="00D51EF4" w:rsidRDefault="00725FED" w:rsidP="00725FED">
            <w:pPr>
              <w:rPr>
                <w:rFonts w:ascii="Calibri" w:hAnsi="Calibri" w:cs="Calibri"/>
                <w:b/>
                <w:bCs/>
                <w:i/>
                <w:iCs/>
                <w:color w:val="000000"/>
                <w:lang w:val="en-GB" w:eastAsia="en-US"/>
              </w:rPr>
            </w:pPr>
            <w:r w:rsidRPr="00D51EF4">
              <w:rPr>
                <w:rFonts w:ascii="Calibri" w:hAnsi="Calibri" w:cs="Calibri"/>
                <w:b/>
                <w:bCs/>
                <w:i/>
                <w:iCs/>
                <w:color w:val="000000"/>
                <w:sz w:val="22"/>
                <w:szCs w:val="22"/>
                <w:lang w:val="en-GB" w:eastAsia="en-US"/>
              </w:rPr>
              <w:t xml:space="preserve">Types: </w:t>
            </w:r>
          </w:p>
        </w:tc>
        <w:tc>
          <w:tcPr>
            <w:tcW w:w="4110" w:type="dxa"/>
            <w:tcBorders>
              <w:top w:val="nil"/>
              <w:left w:val="single" w:sz="4" w:space="0" w:color="auto"/>
              <w:bottom w:val="nil"/>
              <w:right w:val="nil"/>
            </w:tcBorders>
            <w:shd w:val="clear" w:color="auto" w:fill="auto"/>
            <w:noWrap/>
            <w:vAlign w:val="bottom"/>
            <w:hideMark/>
          </w:tcPr>
          <w:p w14:paraId="0CB6B268" w14:textId="00035893" w:rsidR="00725FED" w:rsidRPr="00D51EF4" w:rsidRDefault="00725FED" w:rsidP="00725FED">
            <w:pPr>
              <w:rPr>
                <w:rFonts w:ascii="Calibri" w:hAnsi="Calibri" w:cs="Calibri"/>
                <w:color w:val="000000"/>
                <w:lang w:val="en-GB" w:eastAsia="en-US"/>
              </w:rPr>
            </w:pPr>
            <w:r w:rsidRPr="00D51EF4">
              <w:rPr>
                <w:rFonts w:ascii="Calibri" w:hAnsi="Calibri" w:cs="Calibri"/>
                <w:color w:val="000000"/>
                <w:sz w:val="22"/>
                <w:szCs w:val="22"/>
                <w:lang w:val="en-GB" w:eastAsia="en-US"/>
              </w:rPr>
              <w:t>* Non-government</w:t>
            </w:r>
            <w:r w:rsidR="00FA0D65" w:rsidRPr="00D51EF4">
              <w:rPr>
                <w:rFonts w:ascii="Calibri" w:hAnsi="Calibri" w:cs="Calibri"/>
                <w:color w:val="000000"/>
                <w:sz w:val="22"/>
                <w:szCs w:val="22"/>
                <w:lang w:val="en-GB" w:eastAsia="en-US"/>
              </w:rPr>
              <w:t>al</w:t>
            </w:r>
            <w:r w:rsidRPr="00D51EF4">
              <w:rPr>
                <w:rFonts w:ascii="Calibri" w:hAnsi="Calibri" w:cs="Calibri"/>
                <w:color w:val="000000"/>
                <w:sz w:val="22"/>
                <w:szCs w:val="22"/>
                <w:lang w:val="en-GB" w:eastAsia="en-US"/>
              </w:rPr>
              <w:t xml:space="preserve"> organi</w:t>
            </w:r>
            <w:r w:rsidR="00D411BD" w:rsidRPr="00D51EF4">
              <w:rPr>
                <w:rFonts w:ascii="Calibri" w:hAnsi="Calibri" w:cs="Calibri"/>
                <w:color w:val="000000"/>
                <w:sz w:val="22"/>
                <w:szCs w:val="22"/>
                <w:lang w:val="en-GB" w:eastAsia="en-US"/>
              </w:rPr>
              <w:t>s</w:t>
            </w:r>
            <w:r w:rsidRPr="00D51EF4">
              <w:rPr>
                <w:rFonts w:ascii="Calibri" w:hAnsi="Calibri" w:cs="Calibri"/>
                <w:color w:val="000000"/>
                <w:sz w:val="22"/>
                <w:szCs w:val="22"/>
                <w:lang w:val="en-GB" w:eastAsia="en-US"/>
              </w:rPr>
              <w:t>ations (NGOs)</w:t>
            </w:r>
          </w:p>
        </w:tc>
        <w:tc>
          <w:tcPr>
            <w:tcW w:w="4015" w:type="dxa"/>
            <w:tcBorders>
              <w:top w:val="nil"/>
              <w:left w:val="single" w:sz="4" w:space="0" w:color="auto"/>
              <w:bottom w:val="nil"/>
              <w:right w:val="nil"/>
            </w:tcBorders>
            <w:shd w:val="clear" w:color="auto" w:fill="auto"/>
            <w:noWrap/>
            <w:vAlign w:val="bottom"/>
            <w:hideMark/>
          </w:tcPr>
          <w:p w14:paraId="57E70A69" w14:textId="77777777" w:rsidR="00725FED" w:rsidRPr="00D51EF4" w:rsidRDefault="00725FED" w:rsidP="00725FED">
            <w:pPr>
              <w:rPr>
                <w:rFonts w:ascii="Calibri" w:hAnsi="Calibri" w:cs="Calibri"/>
                <w:color w:val="000000"/>
                <w:lang w:val="en-GB" w:eastAsia="en-US"/>
              </w:rPr>
            </w:pPr>
            <w:r w:rsidRPr="00D51EF4">
              <w:rPr>
                <w:rFonts w:ascii="Calibri" w:hAnsi="Calibri" w:cs="Calibri"/>
                <w:color w:val="000000"/>
                <w:sz w:val="22"/>
                <w:szCs w:val="22"/>
                <w:lang w:val="en-GB" w:eastAsia="en-US"/>
              </w:rPr>
              <w:t xml:space="preserve">* Banks </w:t>
            </w:r>
          </w:p>
        </w:tc>
      </w:tr>
      <w:tr w:rsidR="00725FED" w:rsidRPr="004E1E17" w14:paraId="551A6332" w14:textId="77777777" w:rsidTr="00725FED">
        <w:trPr>
          <w:trHeight w:val="300"/>
        </w:trPr>
        <w:tc>
          <w:tcPr>
            <w:tcW w:w="1575" w:type="dxa"/>
            <w:tcBorders>
              <w:top w:val="nil"/>
              <w:left w:val="nil"/>
              <w:bottom w:val="nil"/>
              <w:right w:val="nil"/>
            </w:tcBorders>
            <w:shd w:val="clear" w:color="auto" w:fill="auto"/>
            <w:noWrap/>
            <w:vAlign w:val="bottom"/>
            <w:hideMark/>
          </w:tcPr>
          <w:p w14:paraId="3EFD15E9" w14:textId="77777777" w:rsidR="00725FED" w:rsidRPr="00D51EF4" w:rsidRDefault="00725FED" w:rsidP="00725FED">
            <w:pPr>
              <w:rPr>
                <w:rFonts w:ascii="Calibri" w:hAnsi="Calibri" w:cs="Calibri"/>
                <w:b/>
                <w:bCs/>
                <w:i/>
                <w:iCs/>
                <w:color w:val="000000"/>
                <w:lang w:val="en-GB" w:eastAsia="en-US"/>
              </w:rPr>
            </w:pPr>
          </w:p>
        </w:tc>
        <w:tc>
          <w:tcPr>
            <w:tcW w:w="4110" w:type="dxa"/>
            <w:tcBorders>
              <w:top w:val="nil"/>
              <w:left w:val="single" w:sz="4" w:space="0" w:color="auto"/>
              <w:bottom w:val="nil"/>
              <w:right w:val="nil"/>
            </w:tcBorders>
            <w:shd w:val="clear" w:color="auto" w:fill="auto"/>
            <w:noWrap/>
            <w:vAlign w:val="bottom"/>
            <w:hideMark/>
          </w:tcPr>
          <w:p w14:paraId="0E3E5A8C" w14:textId="77777777" w:rsidR="00725FED" w:rsidRPr="00D51EF4" w:rsidRDefault="00725FED" w:rsidP="00725FED">
            <w:pPr>
              <w:rPr>
                <w:rFonts w:ascii="Calibri" w:hAnsi="Calibri" w:cs="Calibri"/>
                <w:color w:val="000000"/>
                <w:lang w:val="en-GB" w:eastAsia="en-US"/>
              </w:rPr>
            </w:pPr>
            <w:r w:rsidRPr="00D51EF4">
              <w:rPr>
                <w:rFonts w:ascii="Calibri" w:hAnsi="Calibri" w:cs="Calibri"/>
                <w:color w:val="000000"/>
                <w:sz w:val="22"/>
                <w:szCs w:val="22"/>
                <w:lang w:val="en-GB" w:eastAsia="en-US"/>
              </w:rPr>
              <w:t>* Credit unions</w:t>
            </w:r>
          </w:p>
        </w:tc>
        <w:tc>
          <w:tcPr>
            <w:tcW w:w="4015" w:type="dxa"/>
            <w:tcBorders>
              <w:top w:val="nil"/>
              <w:left w:val="single" w:sz="4" w:space="0" w:color="auto"/>
              <w:bottom w:val="nil"/>
              <w:right w:val="nil"/>
            </w:tcBorders>
            <w:shd w:val="clear" w:color="auto" w:fill="auto"/>
            <w:noWrap/>
            <w:vAlign w:val="bottom"/>
            <w:hideMark/>
          </w:tcPr>
          <w:p w14:paraId="09246A9B" w14:textId="77777777" w:rsidR="00725FED" w:rsidRPr="00D51EF4" w:rsidRDefault="00725FED" w:rsidP="00725FED">
            <w:pPr>
              <w:rPr>
                <w:rFonts w:ascii="Calibri" w:hAnsi="Calibri" w:cs="Calibri"/>
                <w:color w:val="000000"/>
                <w:lang w:val="en-GB" w:eastAsia="en-US"/>
              </w:rPr>
            </w:pPr>
            <w:r w:rsidRPr="00D51EF4">
              <w:rPr>
                <w:rFonts w:ascii="Calibri" w:hAnsi="Calibri" w:cs="Calibri"/>
                <w:color w:val="000000"/>
                <w:sz w:val="22"/>
                <w:szCs w:val="22"/>
                <w:lang w:val="en-GB" w:eastAsia="en-US"/>
              </w:rPr>
              <w:t>* Non-bank financial institutions (NBFIs)</w:t>
            </w:r>
          </w:p>
        </w:tc>
      </w:tr>
      <w:tr w:rsidR="00725FED" w:rsidRPr="00D51EF4" w14:paraId="19F8FAAD" w14:textId="77777777" w:rsidTr="00725FED">
        <w:trPr>
          <w:trHeight w:val="300"/>
        </w:trPr>
        <w:tc>
          <w:tcPr>
            <w:tcW w:w="1575" w:type="dxa"/>
            <w:tcBorders>
              <w:top w:val="nil"/>
              <w:left w:val="nil"/>
              <w:bottom w:val="nil"/>
              <w:right w:val="nil"/>
            </w:tcBorders>
            <w:shd w:val="clear" w:color="auto" w:fill="auto"/>
            <w:noWrap/>
            <w:vAlign w:val="bottom"/>
            <w:hideMark/>
          </w:tcPr>
          <w:p w14:paraId="705C596A" w14:textId="77777777" w:rsidR="00725FED" w:rsidRPr="00D51EF4" w:rsidRDefault="00725FED" w:rsidP="00725FED">
            <w:pPr>
              <w:rPr>
                <w:rFonts w:ascii="Calibri" w:hAnsi="Calibri" w:cs="Calibri"/>
                <w:b/>
                <w:bCs/>
                <w:i/>
                <w:iCs/>
                <w:color w:val="000000"/>
                <w:lang w:val="en-GB" w:eastAsia="en-US"/>
              </w:rPr>
            </w:pPr>
          </w:p>
        </w:tc>
        <w:tc>
          <w:tcPr>
            <w:tcW w:w="4110" w:type="dxa"/>
            <w:tcBorders>
              <w:top w:val="nil"/>
              <w:left w:val="single" w:sz="4" w:space="0" w:color="auto"/>
              <w:bottom w:val="nil"/>
              <w:right w:val="nil"/>
            </w:tcBorders>
            <w:shd w:val="clear" w:color="auto" w:fill="auto"/>
            <w:noWrap/>
            <w:vAlign w:val="bottom"/>
            <w:hideMark/>
          </w:tcPr>
          <w:p w14:paraId="21DF3910" w14:textId="77777777" w:rsidR="00725FED" w:rsidRPr="00D51EF4" w:rsidRDefault="00725FED" w:rsidP="00725FED">
            <w:pPr>
              <w:rPr>
                <w:rFonts w:ascii="Calibri" w:hAnsi="Calibri" w:cs="Calibri"/>
                <w:color w:val="000000"/>
                <w:lang w:val="en-GB" w:eastAsia="en-US"/>
              </w:rPr>
            </w:pPr>
            <w:r w:rsidRPr="00D51EF4">
              <w:rPr>
                <w:rFonts w:ascii="Calibri" w:hAnsi="Calibri" w:cs="Calibri"/>
                <w:color w:val="000000"/>
                <w:sz w:val="22"/>
                <w:szCs w:val="22"/>
                <w:lang w:val="en-GB" w:eastAsia="en-US"/>
              </w:rPr>
              <w:t>* Cooperatives</w:t>
            </w:r>
          </w:p>
        </w:tc>
        <w:tc>
          <w:tcPr>
            <w:tcW w:w="4015" w:type="dxa"/>
            <w:tcBorders>
              <w:top w:val="nil"/>
              <w:left w:val="single" w:sz="4" w:space="0" w:color="auto"/>
              <w:bottom w:val="nil"/>
              <w:right w:val="nil"/>
            </w:tcBorders>
            <w:shd w:val="clear" w:color="auto" w:fill="auto"/>
            <w:noWrap/>
            <w:vAlign w:val="bottom"/>
            <w:hideMark/>
          </w:tcPr>
          <w:p w14:paraId="0B9CD08A" w14:textId="77777777" w:rsidR="00725FED" w:rsidRPr="00D51EF4" w:rsidRDefault="00725FED" w:rsidP="00725FED">
            <w:pPr>
              <w:rPr>
                <w:rFonts w:ascii="Calibri" w:hAnsi="Calibri" w:cs="Calibri"/>
                <w:color w:val="000000"/>
                <w:lang w:val="en-GB" w:eastAsia="en-US"/>
              </w:rPr>
            </w:pPr>
            <w:r w:rsidRPr="00D51EF4">
              <w:rPr>
                <w:rFonts w:ascii="Calibri" w:hAnsi="Calibri" w:cs="Calibri"/>
                <w:color w:val="000000"/>
                <w:sz w:val="22"/>
                <w:szCs w:val="22"/>
                <w:lang w:val="en-GB" w:eastAsia="en-US"/>
              </w:rPr>
              <w:t> </w:t>
            </w:r>
          </w:p>
        </w:tc>
      </w:tr>
      <w:tr w:rsidR="00725FED" w:rsidRPr="00D51EF4" w14:paraId="4152DE86" w14:textId="77777777" w:rsidTr="00725FED">
        <w:trPr>
          <w:trHeight w:val="300"/>
        </w:trPr>
        <w:tc>
          <w:tcPr>
            <w:tcW w:w="1575" w:type="dxa"/>
            <w:tcBorders>
              <w:top w:val="nil"/>
              <w:left w:val="nil"/>
              <w:bottom w:val="nil"/>
              <w:right w:val="nil"/>
            </w:tcBorders>
            <w:shd w:val="clear" w:color="auto" w:fill="auto"/>
            <w:noWrap/>
            <w:vAlign w:val="bottom"/>
            <w:hideMark/>
          </w:tcPr>
          <w:p w14:paraId="7FB58FB1" w14:textId="77777777" w:rsidR="00725FED" w:rsidRPr="00D51EF4" w:rsidRDefault="00725FED" w:rsidP="00725FED">
            <w:pPr>
              <w:rPr>
                <w:rFonts w:ascii="Calibri" w:hAnsi="Calibri" w:cs="Calibri"/>
                <w:b/>
                <w:bCs/>
                <w:i/>
                <w:iCs/>
                <w:color w:val="000000"/>
                <w:lang w:val="en-GB" w:eastAsia="en-US"/>
              </w:rPr>
            </w:pPr>
          </w:p>
        </w:tc>
        <w:tc>
          <w:tcPr>
            <w:tcW w:w="4110" w:type="dxa"/>
            <w:tcBorders>
              <w:top w:val="nil"/>
              <w:left w:val="single" w:sz="4" w:space="0" w:color="auto"/>
              <w:bottom w:val="nil"/>
              <w:right w:val="nil"/>
            </w:tcBorders>
            <w:shd w:val="clear" w:color="auto" w:fill="auto"/>
            <w:noWrap/>
            <w:vAlign w:val="bottom"/>
            <w:hideMark/>
          </w:tcPr>
          <w:p w14:paraId="73567920" w14:textId="77777777" w:rsidR="00725FED" w:rsidRPr="00D51EF4" w:rsidRDefault="00725FED" w:rsidP="00725FED">
            <w:pPr>
              <w:rPr>
                <w:rFonts w:ascii="Calibri" w:hAnsi="Calibri" w:cs="Calibri"/>
                <w:color w:val="000000"/>
                <w:lang w:val="en-GB" w:eastAsia="en-US"/>
              </w:rPr>
            </w:pPr>
            <w:r w:rsidRPr="00D51EF4">
              <w:rPr>
                <w:rFonts w:ascii="Calibri" w:hAnsi="Calibri" w:cs="Calibri"/>
                <w:color w:val="000000"/>
                <w:sz w:val="22"/>
                <w:szCs w:val="22"/>
                <w:lang w:val="en-GB" w:eastAsia="en-US"/>
              </w:rPr>
              <w:t> </w:t>
            </w:r>
          </w:p>
        </w:tc>
        <w:tc>
          <w:tcPr>
            <w:tcW w:w="4015" w:type="dxa"/>
            <w:tcBorders>
              <w:top w:val="nil"/>
              <w:left w:val="single" w:sz="4" w:space="0" w:color="auto"/>
              <w:bottom w:val="nil"/>
              <w:right w:val="nil"/>
            </w:tcBorders>
            <w:shd w:val="clear" w:color="auto" w:fill="auto"/>
            <w:noWrap/>
            <w:vAlign w:val="bottom"/>
            <w:hideMark/>
          </w:tcPr>
          <w:p w14:paraId="5771BC55" w14:textId="77777777" w:rsidR="00725FED" w:rsidRPr="00D51EF4" w:rsidRDefault="00725FED" w:rsidP="00725FED">
            <w:pPr>
              <w:rPr>
                <w:rFonts w:ascii="Calibri" w:hAnsi="Calibri" w:cs="Calibri"/>
                <w:color w:val="000000"/>
                <w:lang w:val="en-GB" w:eastAsia="en-US"/>
              </w:rPr>
            </w:pPr>
            <w:r w:rsidRPr="00D51EF4">
              <w:rPr>
                <w:rFonts w:ascii="Calibri" w:hAnsi="Calibri" w:cs="Calibri"/>
                <w:color w:val="000000"/>
                <w:sz w:val="22"/>
                <w:szCs w:val="22"/>
                <w:lang w:val="en-GB" w:eastAsia="en-US"/>
              </w:rPr>
              <w:t> </w:t>
            </w:r>
          </w:p>
        </w:tc>
      </w:tr>
      <w:tr w:rsidR="00725FED" w:rsidRPr="00D51EF4" w14:paraId="4E085241" w14:textId="77777777" w:rsidTr="00725FED">
        <w:trPr>
          <w:trHeight w:val="300"/>
        </w:trPr>
        <w:tc>
          <w:tcPr>
            <w:tcW w:w="1575" w:type="dxa"/>
            <w:tcBorders>
              <w:top w:val="nil"/>
              <w:left w:val="nil"/>
              <w:bottom w:val="nil"/>
              <w:right w:val="nil"/>
            </w:tcBorders>
            <w:shd w:val="clear" w:color="auto" w:fill="auto"/>
            <w:noWrap/>
            <w:vAlign w:val="bottom"/>
            <w:hideMark/>
          </w:tcPr>
          <w:p w14:paraId="232F85C3" w14:textId="77777777" w:rsidR="00725FED" w:rsidRPr="00D51EF4" w:rsidRDefault="00007BC4" w:rsidP="00725FED">
            <w:pPr>
              <w:rPr>
                <w:rFonts w:ascii="Calibri" w:hAnsi="Calibri" w:cs="Calibri"/>
                <w:b/>
                <w:bCs/>
                <w:i/>
                <w:iCs/>
                <w:color w:val="000000"/>
                <w:lang w:val="en-GB" w:eastAsia="en-US"/>
              </w:rPr>
            </w:pPr>
            <w:r w:rsidRPr="00D51EF4">
              <w:rPr>
                <w:rFonts w:ascii="Calibri" w:hAnsi="Calibri" w:cs="Calibri"/>
                <w:b/>
                <w:bCs/>
                <w:i/>
                <w:iCs/>
                <w:color w:val="000000"/>
                <w:sz w:val="22"/>
                <w:szCs w:val="22"/>
                <w:lang w:val="en-GB" w:eastAsia="en-US"/>
              </w:rPr>
              <w:t>Profit</w:t>
            </w:r>
          </w:p>
        </w:tc>
        <w:tc>
          <w:tcPr>
            <w:tcW w:w="4110" w:type="dxa"/>
            <w:tcBorders>
              <w:top w:val="nil"/>
              <w:left w:val="single" w:sz="4" w:space="0" w:color="auto"/>
              <w:bottom w:val="nil"/>
              <w:right w:val="nil"/>
            </w:tcBorders>
            <w:shd w:val="clear" w:color="auto" w:fill="auto"/>
            <w:noWrap/>
            <w:vAlign w:val="bottom"/>
            <w:hideMark/>
          </w:tcPr>
          <w:p w14:paraId="712B3D76" w14:textId="77777777" w:rsidR="00725FED" w:rsidRPr="00D51EF4" w:rsidRDefault="00725FED" w:rsidP="00725FED">
            <w:pPr>
              <w:rPr>
                <w:rFonts w:ascii="Calibri" w:hAnsi="Calibri" w:cs="Calibri"/>
                <w:color w:val="000000"/>
                <w:lang w:val="en-GB" w:eastAsia="en-US"/>
              </w:rPr>
            </w:pPr>
            <w:r w:rsidRPr="00D51EF4">
              <w:rPr>
                <w:rFonts w:ascii="Calibri" w:hAnsi="Calibri" w:cs="Calibri"/>
                <w:color w:val="000000"/>
                <w:sz w:val="22"/>
                <w:szCs w:val="22"/>
                <w:lang w:val="en-GB" w:eastAsia="en-US"/>
              </w:rPr>
              <w:t>* NGOs have a non-distribution constraint,</w:t>
            </w:r>
          </w:p>
        </w:tc>
        <w:tc>
          <w:tcPr>
            <w:tcW w:w="4015" w:type="dxa"/>
            <w:tcBorders>
              <w:top w:val="nil"/>
              <w:left w:val="single" w:sz="4" w:space="0" w:color="auto"/>
              <w:bottom w:val="nil"/>
              <w:right w:val="nil"/>
            </w:tcBorders>
            <w:shd w:val="clear" w:color="auto" w:fill="auto"/>
            <w:noWrap/>
            <w:vAlign w:val="bottom"/>
            <w:hideMark/>
          </w:tcPr>
          <w:p w14:paraId="22E1DDD7" w14:textId="77777777" w:rsidR="00725FED" w:rsidRPr="00D51EF4" w:rsidRDefault="00725FED" w:rsidP="00725FED">
            <w:pPr>
              <w:rPr>
                <w:rFonts w:ascii="Calibri" w:hAnsi="Calibri" w:cs="Calibri"/>
                <w:color w:val="000000"/>
                <w:lang w:val="en-GB" w:eastAsia="en-US"/>
              </w:rPr>
            </w:pPr>
            <w:r w:rsidRPr="00D51EF4">
              <w:rPr>
                <w:rFonts w:ascii="Calibri" w:hAnsi="Calibri" w:cs="Calibri"/>
                <w:color w:val="000000"/>
                <w:sz w:val="22"/>
                <w:szCs w:val="22"/>
                <w:lang w:val="en-GB" w:eastAsia="en-US"/>
              </w:rPr>
              <w:t>* Distribute profits to owners</w:t>
            </w:r>
          </w:p>
        </w:tc>
      </w:tr>
      <w:tr w:rsidR="00725FED" w:rsidRPr="004E1E17" w14:paraId="381C5577" w14:textId="77777777" w:rsidTr="00725FED">
        <w:trPr>
          <w:trHeight w:val="300"/>
        </w:trPr>
        <w:tc>
          <w:tcPr>
            <w:tcW w:w="1575" w:type="dxa"/>
            <w:tcBorders>
              <w:top w:val="nil"/>
              <w:left w:val="nil"/>
              <w:bottom w:val="nil"/>
              <w:right w:val="nil"/>
            </w:tcBorders>
            <w:shd w:val="clear" w:color="auto" w:fill="auto"/>
            <w:noWrap/>
            <w:vAlign w:val="bottom"/>
            <w:hideMark/>
          </w:tcPr>
          <w:p w14:paraId="30485697" w14:textId="77777777" w:rsidR="00725FED" w:rsidRPr="00D51EF4" w:rsidRDefault="00007BC4" w:rsidP="00725FED">
            <w:pPr>
              <w:rPr>
                <w:rFonts w:ascii="Calibri" w:hAnsi="Calibri" w:cs="Calibri"/>
                <w:b/>
                <w:bCs/>
                <w:i/>
                <w:iCs/>
                <w:color w:val="000000"/>
                <w:lang w:val="en-GB" w:eastAsia="en-US"/>
              </w:rPr>
            </w:pPr>
            <w:r w:rsidRPr="00D51EF4">
              <w:rPr>
                <w:rFonts w:ascii="Calibri" w:hAnsi="Calibri" w:cs="Calibri"/>
                <w:b/>
                <w:bCs/>
                <w:i/>
                <w:iCs/>
                <w:color w:val="000000"/>
                <w:sz w:val="22"/>
                <w:szCs w:val="22"/>
                <w:lang w:val="en-GB" w:eastAsia="en-US"/>
              </w:rPr>
              <w:t>distribution:</w:t>
            </w:r>
          </w:p>
        </w:tc>
        <w:tc>
          <w:tcPr>
            <w:tcW w:w="4110" w:type="dxa"/>
            <w:tcBorders>
              <w:top w:val="nil"/>
              <w:left w:val="single" w:sz="4" w:space="0" w:color="auto"/>
              <w:bottom w:val="nil"/>
              <w:right w:val="nil"/>
            </w:tcBorders>
            <w:shd w:val="clear" w:color="auto" w:fill="auto"/>
            <w:noWrap/>
            <w:vAlign w:val="bottom"/>
            <w:hideMark/>
          </w:tcPr>
          <w:p w14:paraId="622EA390" w14:textId="0316540D" w:rsidR="00725FED" w:rsidRPr="00D51EF4" w:rsidRDefault="00725FED" w:rsidP="00725FED">
            <w:pPr>
              <w:rPr>
                <w:rFonts w:ascii="Calibri" w:hAnsi="Calibri" w:cs="Calibri"/>
                <w:color w:val="000000"/>
                <w:lang w:val="en-GB" w:eastAsia="en-US"/>
              </w:rPr>
            </w:pPr>
            <w:r w:rsidRPr="00D51EF4">
              <w:rPr>
                <w:rFonts w:ascii="Calibri" w:hAnsi="Calibri" w:cs="Calibri"/>
                <w:color w:val="000000"/>
                <w:sz w:val="22"/>
                <w:szCs w:val="22"/>
                <w:lang w:val="en-GB" w:eastAsia="en-US"/>
              </w:rPr>
              <w:t xml:space="preserve">whereas credit unions and cooperatives </w:t>
            </w:r>
          </w:p>
        </w:tc>
        <w:tc>
          <w:tcPr>
            <w:tcW w:w="4015" w:type="dxa"/>
            <w:tcBorders>
              <w:top w:val="nil"/>
              <w:left w:val="single" w:sz="4" w:space="0" w:color="auto"/>
              <w:bottom w:val="nil"/>
              <w:right w:val="nil"/>
            </w:tcBorders>
            <w:shd w:val="clear" w:color="auto" w:fill="auto"/>
            <w:noWrap/>
            <w:vAlign w:val="bottom"/>
            <w:hideMark/>
          </w:tcPr>
          <w:p w14:paraId="3245BACF" w14:textId="77777777" w:rsidR="00725FED" w:rsidRPr="00D51EF4" w:rsidRDefault="00725FED" w:rsidP="00725FED">
            <w:pPr>
              <w:rPr>
                <w:rFonts w:ascii="Calibri" w:hAnsi="Calibri" w:cs="Calibri"/>
                <w:color w:val="000000"/>
                <w:lang w:val="en-GB" w:eastAsia="en-US"/>
              </w:rPr>
            </w:pPr>
            <w:r w:rsidRPr="00D51EF4">
              <w:rPr>
                <w:rFonts w:ascii="Calibri" w:hAnsi="Calibri" w:cs="Calibri"/>
                <w:color w:val="000000"/>
                <w:sz w:val="22"/>
                <w:szCs w:val="22"/>
                <w:lang w:val="en-GB" w:eastAsia="en-US"/>
              </w:rPr>
              <w:t> </w:t>
            </w:r>
          </w:p>
        </w:tc>
      </w:tr>
      <w:tr w:rsidR="00725FED" w:rsidRPr="004E1E17" w14:paraId="70120612" w14:textId="77777777" w:rsidTr="00725FED">
        <w:trPr>
          <w:trHeight w:val="300"/>
        </w:trPr>
        <w:tc>
          <w:tcPr>
            <w:tcW w:w="1575" w:type="dxa"/>
            <w:tcBorders>
              <w:top w:val="nil"/>
              <w:left w:val="nil"/>
              <w:bottom w:val="nil"/>
              <w:right w:val="nil"/>
            </w:tcBorders>
            <w:shd w:val="clear" w:color="auto" w:fill="auto"/>
            <w:noWrap/>
            <w:vAlign w:val="bottom"/>
            <w:hideMark/>
          </w:tcPr>
          <w:p w14:paraId="32078DE6" w14:textId="77777777" w:rsidR="00725FED" w:rsidRPr="00D51EF4" w:rsidRDefault="00725FED" w:rsidP="00725FED">
            <w:pPr>
              <w:rPr>
                <w:rFonts w:ascii="Calibri" w:hAnsi="Calibri" w:cs="Calibri"/>
                <w:b/>
                <w:bCs/>
                <w:i/>
                <w:iCs/>
                <w:color w:val="000000"/>
                <w:lang w:val="en-GB" w:eastAsia="en-US"/>
              </w:rPr>
            </w:pPr>
          </w:p>
        </w:tc>
        <w:tc>
          <w:tcPr>
            <w:tcW w:w="4110" w:type="dxa"/>
            <w:tcBorders>
              <w:top w:val="nil"/>
              <w:left w:val="single" w:sz="4" w:space="0" w:color="auto"/>
              <w:bottom w:val="nil"/>
              <w:right w:val="nil"/>
            </w:tcBorders>
            <w:shd w:val="clear" w:color="auto" w:fill="auto"/>
            <w:noWrap/>
            <w:vAlign w:val="bottom"/>
            <w:hideMark/>
          </w:tcPr>
          <w:p w14:paraId="66DB77F6" w14:textId="77777777" w:rsidR="00725FED" w:rsidRPr="00D51EF4" w:rsidRDefault="00953415" w:rsidP="00725FED">
            <w:pPr>
              <w:rPr>
                <w:rFonts w:ascii="Calibri" w:hAnsi="Calibri" w:cs="Calibri"/>
                <w:color w:val="000000"/>
                <w:lang w:val="en-GB" w:eastAsia="en-US"/>
              </w:rPr>
            </w:pPr>
            <w:r w:rsidRPr="00D51EF4">
              <w:rPr>
                <w:rFonts w:ascii="Calibri" w:hAnsi="Calibri" w:cs="Calibri"/>
                <w:color w:val="000000"/>
                <w:sz w:val="22"/>
                <w:szCs w:val="22"/>
                <w:lang w:val="en-GB" w:eastAsia="en-US"/>
              </w:rPr>
              <w:t>s</w:t>
            </w:r>
            <w:r w:rsidR="003D7695" w:rsidRPr="00D51EF4">
              <w:rPr>
                <w:rFonts w:ascii="Calibri" w:hAnsi="Calibri" w:cs="Calibri"/>
                <w:color w:val="000000"/>
                <w:sz w:val="22"/>
                <w:szCs w:val="22"/>
                <w:lang w:val="en-GB" w:eastAsia="en-US"/>
              </w:rPr>
              <w:t xml:space="preserve">eldom do but may </w:t>
            </w:r>
            <w:r w:rsidR="00725FED" w:rsidRPr="00D51EF4">
              <w:rPr>
                <w:rFonts w:ascii="Calibri" w:hAnsi="Calibri" w:cs="Calibri"/>
                <w:color w:val="000000"/>
                <w:sz w:val="22"/>
                <w:szCs w:val="22"/>
                <w:lang w:val="en-GB" w:eastAsia="en-US"/>
              </w:rPr>
              <w:t>distribute profits to members</w:t>
            </w:r>
          </w:p>
        </w:tc>
        <w:tc>
          <w:tcPr>
            <w:tcW w:w="4015" w:type="dxa"/>
            <w:tcBorders>
              <w:top w:val="nil"/>
              <w:left w:val="single" w:sz="4" w:space="0" w:color="auto"/>
              <w:bottom w:val="nil"/>
              <w:right w:val="nil"/>
            </w:tcBorders>
            <w:shd w:val="clear" w:color="auto" w:fill="auto"/>
            <w:noWrap/>
            <w:vAlign w:val="bottom"/>
            <w:hideMark/>
          </w:tcPr>
          <w:p w14:paraId="0C95F62E" w14:textId="77777777" w:rsidR="00725FED" w:rsidRPr="00D51EF4" w:rsidRDefault="00725FED" w:rsidP="00725FED">
            <w:pPr>
              <w:rPr>
                <w:rFonts w:ascii="Calibri" w:hAnsi="Calibri" w:cs="Calibri"/>
                <w:color w:val="000000"/>
                <w:lang w:val="en-GB" w:eastAsia="en-US"/>
              </w:rPr>
            </w:pPr>
            <w:r w:rsidRPr="00D51EF4">
              <w:rPr>
                <w:rFonts w:ascii="Calibri" w:hAnsi="Calibri" w:cs="Calibri"/>
                <w:color w:val="000000"/>
                <w:sz w:val="22"/>
                <w:szCs w:val="22"/>
                <w:lang w:val="en-GB" w:eastAsia="en-US"/>
              </w:rPr>
              <w:t> </w:t>
            </w:r>
          </w:p>
        </w:tc>
      </w:tr>
      <w:tr w:rsidR="00725FED" w:rsidRPr="004E1E17" w14:paraId="10CDA9C5" w14:textId="77777777" w:rsidTr="00725FED">
        <w:trPr>
          <w:trHeight w:val="300"/>
        </w:trPr>
        <w:tc>
          <w:tcPr>
            <w:tcW w:w="1575" w:type="dxa"/>
            <w:tcBorders>
              <w:top w:val="nil"/>
              <w:left w:val="nil"/>
              <w:bottom w:val="nil"/>
              <w:right w:val="nil"/>
            </w:tcBorders>
            <w:shd w:val="clear" w:color="auto" w:fill="auto"/>
            <w:noWrap/>
            <w:vAlign w:val="bottom"/>
            <w:hideMark/>
          </w:tcPr>
          <w:p w14:paraId="7E7FC5B0" w14:textId="77777777" w:rsidR="00725FED" w:rsidRPr="00D51EF4" w:rsidRDefault="00725FED" w:rsidP="00725FED">
            <w:pPr>
              <w:rPr>
                <w:rFonts w:ascii="Calibri" w:hAnsi="Calibri" w:cs="Calibri"/>
                <w:b/>
                <w:bCs/>
                <w:i/>
                <w:iCs/>
                <w:color w:val="000000"/>
                <w:lang w:val="en-GB" w:eastAsia="en-US"/>
              </w:rPr>
            </w:pPr>
          </w:p>
        </w:tc>
        <w:tc>
          <w:tcPr>
            <w:tcW w:w="4110" w:type="dxa"/>
            <w:tcBorders>
              <w:top w:val="nil"/>
              <w:left w:val="single" w:sz="4" w:space="0" w:color="auto"/>
              <w:bottom w:val="nil"/>
              <w:right w:val="nil"/>
            </w:tcBorders>
            <w:shd w:val="clear" w:color="auto" w:fill="auto"/>
            <w:noWrap/>
            <w:vAlign w:val="bottom"/>
            <w:hideMark/>
          </w:tcPr>
          <w:p w14:paraId="06CFF989" w14:textId="77777777" w:rsidR="00725FED" w:rsidRPr="00D51EF4" w:rsidRDefault="00725FED" w:rsidP="00725FED">
            <w:pPr>
              <w:rPr>
                <w:rFonts w:ascii="Calibri" w:hAnsi="Calibri" w:cs="Calibri"/>
                <w:color w:val="000000"/>
                <w:lang w:val="en-GB" w:eastAsia="en-US"/>
              </w:rPr>
            </w:pPr>
            <w:r w:rsidRPr="00D51EF4">
              <w:rPr>
                <w:rFonts w:ascii="Calibri" w:hAnsi="Calibri" w:cs="Calibri"/>
                <w:color w:val="000000"/>
                <w:sz w:val="22"/>
                <w:szCs w:val="22"/>
                <w:lang w:val="en-GB" w:eastAsia="en-US"/>
              </w:rPr>
              <w:t> </w:t>
            </w:r>
          </w:p>
        </w:tc>
        <w:tc>
          <w:tcPr>
            <w:tcW w:w="4015" w:type="dxa"/>
            <w:tcBorders>
              <w:top w:val="nil"/>
              <w:left w:val="single" w:sz="4" w:space="0" w:color="auto"/>
              <w:bottom w:val="nil"/>
              <w:right w:val="nil"/>
            </w:tcBorders>
            <w:shd w:val="clear" w:color="auto" w:fill="auto"/>
            <w:noWrap/>
            <w:vAlign w:val="bottom"/>
            <w:hideMark/>
          </w:tcPr>
          <w:p w14:paraId="73A4B556" w14:textId="77777777" w:rsidR="00725FED" w:rsidRPr="00D51EF4" w:rsidRDefault="00725FED" w:rsidP="00725FED">
            <w:pPr>
              <w:rPr>
                <w:rFonts w:ascii="Calibri" w:hAnsi="Calibri" w:cs="Calibri"/>
                <w:color w:val="000000"/>
                <w:lang w:val="en-GB" w:eastAsia="en-US"/>
              </w:rPr>
            </w:pPr>
            <w:r w:rsidRPr="00D51EF4">
              <w:rPr>
                <w:rFonts w:ascii="Calibri" w:hAnsi="Calibri" w:cs="Calibri"/>
                <w:color w:val="000000"/>
                <w:sz w:val="22"/>
                <w:szCs w:val="22"/>
                <w:lang w:val="en-GB" w:eastAsia="en-US"/>
              </w:rPr>
              <w:t> </w:t>
            </w:r>
          </w:p>
        </w:tc>
      </w:tr>
      <w:tr w:rsidR="00725FED" w:rsidRPr="00D51EF4" w14:paraId="69D5C95F" w14:textId="77777777" w:rsidTr="00725FED">
        <w:trPr>
          <w:trHeight w:val="300"/>
        </w:trPr>
        <w:tc>
          <w:tcPr>
            <w:tcW w:w="1575" w:type="dxa"/>
            <w:tcBorders>
              <w:top w:val="nil"/>
              <w:left w:val="nil"/>
              <w:bottom w:val="nil"/>
              <w:right w:val="nil"/>
            </w:tcBorders>
            <w:shd w:val="clear" w:color="auto" w:fill="auto"/>
            <w:noWrap/>
            <w:vAlign w:val="bottom"/>
            <w:hideMark/>
          </w:tcPr>
          <w:p w14:paraId="3CF6920E" w14:textId="77777777" w:rsidR="00725FED" w:rsidRPr="00D51EF4" w:rsidRDefault="00725FED" w:rsidP="00725FED">
            <w:pPr>
              <w:rPr>
                <w:rFonts w:ascii="Calibri" w:hAnsi="Calibri" w:cs="Calibri"/>
                <w:b/>
                <w:bCs/>
                <w:i/>
                <w:iCs/>
                <w:color w:val="000000"/>
                <w:lang w:val="en-GB" w:eastAsia="en-US"/>
              </w:rPr>
            </w:pPr>
            <w:r w:rsidRPr="00D51EF4">
              <w:rPr>
                <w:rFonts w:ascii="Calibri" w:hAnsi="Calibri" w:cs="Calibri"/>
                <w:b/>
                <w:bCs/>
                <w:i/>
                <w:iCs/>
                <w:color w:val="000000"/>
                <w:sz w:val="22"/>
                <w:szCs w:val="22"/>
                <w:lang w:val="en-GB" w:eastAsia="en-US"/>
              </w:rPr>
              <w:t>Governance:</w:t>
            </w:r>
          </w:p>
        </w:tc>
        <w:tc>
          <w:tcPr>
            <w:tcW w:w="4110" w:type="dxa"/>
            <w:tcBorders>
              <w:top w:val="nil"/>
              <w:left w:val="single" w:sz="4" w:space="0" w:color="auto"/>
              <w:bottom w:val="nil"/>
              <w:right w:val="nil"/>
            </w:tcBorders>
            <w:shd w:val="clear" w:color="auto" w:fill="auto"/>
            <w:noWrap/>
            <w:vAlign w:val="bottom"/>
            <w:hideMark/>
          </w:tcPr>
          <w:p w14:paraId="5A4DF25C" w14:textId="77777777" w:rsidR="00725FED" w:rsidRPr="00D51EF4" w:rsidRDefault="00725FED" w:rsidP="00725FED">
            <w:pPr>
              <w:rPr>
                <w:rFonts w:ascii="Calibri" w:hAnsi="Calibri" w:cs="Calibri"/>
                <w:color w:val="000000"/>
                <w:lang w:val="en-GB" w:eastAsia="en-US"/>
              </w:rPr>
            </w:pPr>
            <w:r w:rsidRPr="00D51EF4">
              <w:rPr>
                <w:rFonts w:ascii="Calibri" w:hAnsi="Calibri" w:cs="Calibri"/>
                <w:color w:val="000000"/>
                <w:sz w:val="22"/>
                <w:szCs w:val="22"/>
                <w:lang w:val="en-GB" w:eastAsia="en-US"/>
              </w:rPr>
              <w:t>* Governance is not tied to ownership</w:t>
            </w:r>
          </w:p>
        </w:tc>
        <w:tc>
          <w:tcPr>
            <w:tcW w:w="4015" w:type="dxa"/>
            <w:tcBorders>
              <w:top w:val="nil"/>
              <w:left w:val="single" w:sz="4" w:space="0" w:color="auto"/>
              <w:bottom w:val="nil"/>
              <w:right w:val="nil"/>
            </w:tcBorders>
            <w:shd w:val="clear" w:color="auto" w:fill="auto"/>
            <w:noWrap/>
            <w:vAlign w:val="bottom"/>
            <w:hideMark/>
          </w:tcPr>
          <w:p w14:paraId="7B579400" w14:textId="77777777" w:rsidR="00725FED" w:rsidRPr="00D51EF4" w:rsidRDefault="00725FED" w:rsidP="00725FED">
            <w:pPr>
              <w:rPr>
                <w:rFonts w:ascii="Calibri" w:hAnsi="Calibri" w:cs="Calibri"/>
                <w:color w:val="000000"/>
                <w:lang w:val="en-GB" w:eastAsia="en-US"/>
              </w:rPr>
            </w:pPr>
            <w:r w:rsidRPr="00D51EF4">
              <w:rPr>
                <w:rFonts w:ascii="Calibri" w:hAnsi="Calibri" w:cs="Calibri"/>
                <w:color w:val="000000"/>
                <w:sz w:val="22"/>
                <w:szCs w:val="22"/>
                <w:lang w:val="en-GB" w:eastAsia="en-US"/>
              </w:rPr>
              <w:t>* Governance tied to ownership</w:t>
            </w:r>
          </w:p>
        </w:tc>
      </w:tr>
      <w:tr w:rsidR="00725FED" w:rsidRPr="004E1E17" w14:paraId="53A4759C" w14:textId="77777777" w:rsidTr="00725FED">
        <w:trPr>
          <w:trHeight w:val="300"/>
        </w:trPr>
        <w:tc>
          <w:tcPr>
            <w:tcW w:w="1575" w:type="dxa"/>
            <w:tcBorders>
              <w:top w:val="nil"/>
              <w:left w:val="nil"/>
              <w:bottom w:val="nil"/>
              <w:right w:val="nil"/>
            </w:tcBorders>
            <w:shd w:val="clear" w:color="auto" w:fill="auto"/>
            <w:noWrap/>
            <w:vAlign w:val="bottom"/>
            <w:hideMark/>
          </w:tcPr>
          <w:p w14:paraId="499B27A4" w14:textId="77777777" w:rsidR="00725FED" w:rsidRPr="00D51EF4" w:rsidRDefault="00725FED" w:rsidP="00725FED">
            <w:pPr>
              <w:rPr>
                <w:rFonts w:ascii="Calibri" w:hAnsi="Calibri" w:cs="Calibri"/>
                <w:b/>
                <w:bCs/>
                <w:i/>
                <w:iCs/>
                <w:color w:val="000000"/>
                <w:lang w:val="en-GB" w:eastAsia="en-US"/>
              </w:rPr>
            </w:pPr>
          </w:p>
        </w:tc>
        <w:tc>
          <w:tcPr>
            <w:tcW w:w="4110" w:type="dxa"/>
            <w:tcBorders>
              <w:top w:val="nil"/>
              <w:left w:val="single" w:sz="4" w:space="0" w:color="auto"/>
              <w:bottom w:val="nil"/>
              <w:right w:val="nil"/>
            </w:tcBorders>
            <w:shd w:val="clear" w:color="auto" w:fill="auto"/>
            <w:noWrap/>
            <w:vAlign w:val="bottom"/>
            <w:hideMark/>
          </w:tcPr>
          <w:p w14:paraId="604C8828" w14:textId="0AA31991" w:rsidR="00725FED" w:rsidRPr="00D51EF4" w:rsidRDefault="00725FED" w:rsidP="00725FED">
            <w:pPr>
              <w:rPr>
                <w:rFonts w:ascii="Calibri" w:hAnsi="Calibri" w:cs="Calibri"/>
                <w:color w:val="000000"/>
                <w:lang w:val="en-GB" w:eastAsia="en-US"/>
              </w:rPr>
            </w:pPr>
            <w:r w:rsidRPr="00D51EF4">
              <w:rPr>
                <w:rFonts w:ascii="Calibri" w:hAnsi="Calibri" w:cs="Calibri"/>
                <w:color w:val="000000"/>
                <w:sz w:val="22"/>
                <w:szCs w:val="22"/>
                <w:lang w:val="en-GB" w:eastAsia="en-US"/>
              </w:rPr>
              <w:t xml:space="preserve">for NGOs, whereas </w:t>
            </w:r>
            <w:r w:rsidR="00374AC5" w:rsidRPr="00D51EF4">
              <w:rPr>
                <w:rFonts w:ascii="Calibri" w:hAnsi="Calibri" w:cs="Calibri"/>
                <w:color w:val="000000"/>
                <w:sz w:val="22"/>
                <w:szCs w:val="22"/>
                <w:lang w:val="en-GB" w:eastAsia="en-US"/>
              </w:rPr>
              <w:t xml:space="preserve">governance in </w:t>
            </w:r>
            <w:r w:rsidRPr="00D51EF4">
              <w:rPr>
                <w:rFonts w:ascii="Calibri" w:hAnsi="Calibri" w:cs="Calibri"/>
                <w:color w:val="000000"/>
                <w:sz w:val="22"/>
                <w:szCs w:val="22"/>
                <w:lang w:val="en-GB" w:eastAsia="en-US"/>
              </w:rPr>
              <w:t xml:space="preserve">credit unions and </w:t>
            </w:r>
            <w:r w:rsidR="003D7695" w:rsidRPr="00D51EF4">
              <w:rPr>
                <w:rFonts w:ascii="Calibri" w:hAnsi="Calibri" w:cs="Calibri"/>
                <w:color w:val="000000"/>
                <w:sz w:val="22"/>
                <w:szCs w:val="22"/>
                <w:lang w:val="en-GB" w:eastAsia="en-US"/>
              </w:rPr>
              <w:t>cooperatives is tied to members</w:t>
            </w:r>
          </w:p>
        </w:tc>
        <w:tc>
          <w:tcPr>
            <w:tcW w:w="4015" w:type="dxa"/>
            <w:tcBorders>
              <w:top w:val="nil"/>
              <w:left w:val="single" w:sz="4" w:space="0" w:color="auto"/>
              <w:bottom w:val="nil"/>
              <w:right w:val="nil"/>
            </w:tcBorders>
            <w:shd w:val="clear" w:color="auto" w:fill="auto"/>
            <w:noWrap/>
            <w:vAlign w:val="bottom"/>
            <w:hideMark/>
          </w:tcPr>
          <w:p w14:paraId="73104E9B" w14:textId="77777777" w:rsidR="00725FED" w:rsidRPr="00D51EF4" w:rsidRDefault="00725FED" w:rsidP="00725FED">
            <w:pPr>
              <w:rPr>
                <w:rFonts w:ascii="Calibri" w:hAnsi="Calibri" w:cs="Calibri"/>
                <w:color w:val="000000"/>
                <w:lang w:val="en-GB" w:eastAsia="en-US"/>
              </w:rPr>
            </w:pPr>
            <w:r w:rsidRPr="00D51EF4">
              <w:rPr>
                <w:rFonts w:ascii="Calibri" w:hAnsi="Calibri" w:cs="Calibri"/>
                <w:color w:val="000000"/>
                <w:sz w:val="22"/>
                <w:szCs w:val="22"/>
                <w:lang w:val="en-GB" w:eastAsia="en-US"/>
              </w:rPr>
              <w:t> </w:t>
            </w:r>
          </w:p>
        </w:tc>
      </w:tr>
      <w:tr w:rsidR="00725FED" w:rsidRPr="004E1E17" w14:paraId="6E24F92D" w14:textId="77777777" w:rsidTr="00725FED">
        <w:trPr>
          <w:trHeight w:val="300"/>
        </w:trPr>
        <w:tc>
          <w:tcPr>
            <w:tcW w:w="1575" w:type="dxa"/>
            <w:tcBorders>
              <w:top w:val="nil"/>
              <w:left w:val="nil"/>
              <w:bottom w:val="nil"/>
              <w:right w:val="nil"/>
            </w:tcBorders>
            <w:shd w:val="clear" w:color="auto" w:fill="auto"/>
            <w:noWrap/>
            <w:vAlign w:val="bottom"/>
            <w:hideMark/>
          </w:tcPr>
          <w:p w14:paraId="6740D1B0" w14:textId="77777777" w:rsidR="00725FED" w:rsidRPr="00D51EF4" w:rsidRDefault="00725FED" w:rsidP="00725FED">
            <w:pPr>
              <w:rPr>
                <w:rFonts w:ascii="Calibri" w:hAnsi="Calibri" w:cs="Calibri"/>
                <w:b/>
                <w:bCs/>
                <w:i/>
                <w:iCs/>
                <w:color w:val="000000"/>
                <w:lang w:val="en-GB" w:eastAsia="en-US"/>
              </w:rPr>
            </w:pPr>
          </w:p>
        </w:tc>
        <w:tc>
          <w:tcPr>
            <w:tcW w:w="4110" w:type="dxa"/>
            <w:tcBorders>
              <w:top w:val="nil"/>
              <w:left w:val="single" w:sz="4" w:space="0" w:color="auto"/>
              <w:bottom w:val="nil"/>
              <w:right w:val="nil"/>
            </w:tcBorders>
            <w:shd w:val="clear" w:color="auto" w:fill="auto"/>
            <w:noWrap/>
            <w:vAlign w:val="bottom"/>
            <w:hideMark/>
          </w:tcPr>
          <w:p w14:paraId="3CB93BFB" w14:textId="77777777" w:rsidR="00725FED" w:rsidRPr="00D51EF4" w:rsidRDefault="00725FED" w:rsidP="00374AC5">
            <w:pPr>
              <w:rPr>
                <w:rFonts w:ascii="Calibri" w:hAnsi="Calibri" w:cs="Calibri"/>
                <w:color w:val="000000"/>
                <w:lang w:val="en-GB" w:eastAsia="en-US"/>
              </w:rPr>
            </w:pPr>
          </w:p>
        </w:tc>
        <w:tc>
          <w:tcPr>
            <w:tcW w:w="4015" w:type="dxa"/>
            <w:tcBorders>
              <w:top w:val="nil"/>
              <w:left w:val="single" w:sz="4" w:space="0" w:color="auto"/>
              <w:bottom w:val="nil"/>
              <w:right w:val="nil"/>
            </w:tcBorders>
            <w:shd w:val="clear" w:color="auto" w:fill="auto"/>
            <w:noWrap/>
            <w:vAlign w:val="bottom"/>
            <w:hideMark/>
          </w:tcPr>
          <w:p w14:paraId="293EED5E" w14:textId="77777777" w:rsidR="00725FED" w:rsidRPr="00D51EF4" w:rsidRDefault="00725FED" w:rsidP="00725FED">
            <w:pPr>
              <w:rPr>
                <w:rFonts w:ascii="Calibri" w:hAnsi="Calibri" w:cs="Calibri"/>
                <w:color w:val="000000"/>
                <w:lang w:val="en-GB" w:eastAsia="en-US"/>
              </w:rPr>
            </w:pPr>
            <w:r w:rsidRPr="00D51EF4">
              <w:rPr>
                <w:rFonts w:ascii="Calibri" w:hAnsi="Calibri" w:cs="Calibri"/>
                <w:color w:val="000000"/>
                <w:sz w:val="22"/>
                <w:szCs w:val="22"/>
                <w:lang w:val="en-GB" w:eastAsia="en-US"/>
              </w:rPr>
              <w:t> </w:t>
            </w:r>
          </w:p>
        </w:tc>
      </w:tr>
      <w:tr w:rsidR="00725FED" w:rsidRPr="00D51EF4" w14:paraId="41035748" w14:textId="77777777" w:rsidTr="00725FED">
        <w:trPr>
          <w:trHeight w:val="300"/>
        </w:trPr>
        <w:tc>
          <w:tcPr>
            <w:tcW w:w="1575" w:type="dxa"/>
            <w:tcBorders>
              <w:top w:val="nil"/>
              <w:left w:val="nil"/>
              <w:bottom w:val="nil"/>
              <w:right w:val="nil"/>
            </w:tcBorders>
            <w:shd w:val="clear" w:color="auto" w:fill="auto"/>
            <w:noWrap/>
            <w:vAlign w:val="bottom"/>
            <w:hideMark/>
          </w:tcPr>
          <w:p w14:paraId="1B781EDF" w14:textId="77777777" w:rsidR="00725FED" w:rsidRPr="00D51EF4" w:rsidRDefault="00725FED" w:rsidP="00725FED">
            <w:pPr>
              <w:rPr>
                <w:rFonts w:ascii="Calibri" w:hAnsi="Calibri" w:cs="Calibri"/>
                <w:b/>
                <w:bCs/>
                <w:i/>
                <w:iCs/>
                <w:color w:val="000000"/>
                <w:lang w:val="en-GB" w:eastAsia="en-US"/>
              </w:rPr>
            </w:pPr>
            <w:r w:rsidRPr="00D51EF4">
              <w:rPr>
                <w:rFonts w:ascii="Calibri" w:hAnsi="Calibri" w:cs="Calibri"/>
                <w:b/>
                <w:bCs/>
                <w:i/>
                <w:iCs/>
                <w:color w:val="000000"/>
                <w:sz w:val="22"/>
                <w:szCs w:val="22"/>
                <w:lang w:val="en-GB" w:eastAsia="en-US"/>
              </w:rPr>
              <w:t>Objectives:</w:t>
            </w:r>
          </w:p>
        </w:tc>
        <w:tc>
          <w:tcPr>
            <w:tcW w:w="4110" w:type="dxa"/>
            <w:tcBorders>
              <w:top w:val="nil"/>
              <w:left w:val="single" w:sz="4" w:space="0" w:color="auto"/>
              <w:bottom w:val="nil"/>
              <w:right w:val="nil"/>
            </w:tcBorders>
            <w:shd w:val="clear" w:color="auto" w:fill="auto"/>
            <w:noWrap/>
            <w:vAlign w:val="bottom"/>
            <w:hideMark/>
          </w:tcPr>
          <w:p w14:paraId="6A451DA9" w14:textId="77777777" w:rsidR="00725FED" w:rsidRPr="00D51EF4" w:rsidRDefault="00725FED" w:rsidP="00725FED">
            <w:pPr>
              <w:rPr>
                <w:rFonts w:ascii="Calibri" w:hAnsi="Calibri" w:cs="Calibri"/>
                <w:color w:val="000000"/>
                <w:lang w:val="en-GB" w:eastAsia="en-US"/>
              </w:rPr>
            </w:pPr>
            <w:r w:rsidRPr="00D51EF4">
              <w:rPr>
                <w:rFonts w:ascii="Calibri" w:hAnsi="Calibri" w:cs="Calibri"/>
                <w:color w:val="000000"/>
                <w:sz w:val="22"/>
                <w:szCs w:val="22"/>
                <w:lang w:val="en-GB" w:eastAsia="en-US"/>
              </w:rPr>
              <w:t>* Dual objectives</w:t>
            </w:r>
          </w:p>
        </w:tc>
        <w:tc>
          <w:tcPr>
            <w:tcW w:w="4015" w:type="dxa"/>
            <w:tcBorders>
              <w:top w:val="nil"/>
              <w:left w:val="single" w:sz="4" w:space="0" w:color="auto"/>
              <w:bottom w:val="nil"/>
              <w:right w:val="nil"/>
            </w:tcBorders>
            <w:shd w:val="clear" w:color="auto" w:fill="auto"/>
            <w:noWrap/>
            <w:vAlign w:val="bottom"/>
            <w:hideMark/>
          </w:tcPr>
          <w:p w14:paraId="788FD5A0" w14:textId="77777777" w:rsidR="00725FED" w:rsidRPr="00D51EF4" w:rsidRDefault="00725FED" w:rsidP="00725FED">
            <w:pPr>
              <w:rPr>
                <w:rFonts w:ascii="Calibri" w:hAnsi="Calibri" w:cs="Calibri"/>
                <w:color w:val="000000"/>
                <w:lang w:val="en-GB" w:eastAsia="en-US"/>
              </w:rPr>
            </w:pPr>
            <w:r w:rsidRPr="00D51EF4">
              <w:rPr>
                <w:rFonts w:ascii="Calibri" w:hAnsi="Calibri" w:cs="Calibri"/>
                <w:color w:val="000000"/>
                <w:sz w:val="22"/>
                <w:szCs w:val="22"/>
                <w:lang w:val="en-GB" w:eastAsia="en-US"/>
              </w:rPr>
              <w:t>* Financial objectives</w:t>
            </w:r>
          </w:p>
        </w:tc>
      </w:tr>
    </w:tbl>
    <w:p w14:paraId="38383E3F" w14:textId="77777777" w:rsidR="00725FED" w:rsidRPr="00D51EF4" w:rsidRDefault="00725FED" w:rsidP="00BB5105">
      <w:pPr>
        <w:autoSpaceDE w:val="0"/>
        <w:autoSpaceDN w:val="0"/>
        <w:adjustRightInd w:val="0"/>
        <w:spacing w:line="480" w:lineRule="auto"/>
        <w:rPr>
          <w:b/>
          <w:i/>
          <w:lang w:val="en-GB"/>
        </w:rPr>
      </w:pPr>
    </w:p>
    <w:p w14:paraId="60B8CF9A" w14:textId="32D5C10F" w:rsidR="00725FED" w:rsidRPr="00D51EF4" w:rsidRDefault="00725FED" w:rsidP="00725FED">
      <w:pPr>
        <w:autoSpaceDE w:val="0"/>
        <w:autoSpaceDN w:val="0"/>
        <w:adjustRightInd w:val="0"/>
        <w:rPr>
          <w:b/>
          <w:i/>
          <w:lang w:val="en-GB"/>
        </w:rPr>
      </w:pPr>
      <w:r w:rsidRPr="00D51EF4">
        <w:rPr>
          <w:sz w:val="20"/>
          <w:szCs w:val="20"/>
          <w:lang w:val="en-GB"/>
        </w:rPr>
        <w:t xml:space="preserve">Table </w:t>
      </w:r>
      <w:r w:rsidR="00A1711B" w:rsidRPr="00D51EF4">
        <w:rPr>
          <w:sz w:val="20"/>
          <w:szCs w:val="20"/>
          <w:lang w:val="en-GB"/>
        </w:rPr>
        <w:t>2</w:t>
      </w:r>
      <w:r w:rsidRPr="00D51EF4">
        <w:rPr>
          <w:sz w:val="20"/>
          <w:szCs w:val="20"/>
          <w:lang w:val="en-GB"/>
        </w:rPr>
        <w:t xml:space="preserve"> </w:t>
      </w:r>
      <w:r w:rsidR="00F778FC" w:rsidRPr="00D51EF4">
        <w:rPr>
          <w:sz w:val="20"/>
          <w:szCs w:val="20"/>
          <w:lang w:val="en-GB"/>
        </w:rPr>
        <w:t xml:space="preserve">presents </w:t>
      </w:r>
      <w:r w:rsidRPr="00D51EF4">
        <w:rPr>
          <w:sz w:val="20"/>
          <w:szCs w:val="20"/>
          <w:lang w:val="en-GB"/>
        </w:rPr>
        <w:t xml:space="preserve">characteristics of the two samples </w:t>
      </w:r>
      <w:r w:rsidR="00374AC5" w:rsidRPr="00D51EF4">
        <w:rPr>
          <w:sz w:val="20"/>
          <w:szCs w:val="20"/>
          <w:lang w:val="en-GB"/>
        </w:rPr>
        <w:t xml:space="preserve">in </w:t>
      </w:r>
      <w:r w:rsidR="00FA0D65" w:rsidRPr="00D51EF4">
        <w:rPr>
          <w:sz w:val="20"/>
          <w:szCs w:val="20"/>
          <w:lang w:val="en-GB"/>
        </w:rPr>
        <w:t xml:space="preserve">this </w:t>
      </w:r>
      <w:r w:rsidRPr="00D51EF4">
        <w:rPr>
          <w:sz w:val="20"/>
          <w:szCs w:val="20"/>
          <w:lang w:val="en-GB"/>
        </w:rPr>
        <w:t>study</w:t>
      </w:r>
      <w:r w:rsidR="00374AC5" w:rsidRPr="00D51EF4">
        <w:rPr>
          <w:sz w:val="20"/>
          <w:szCs w:val="20"/>
          <w:lang w:val="en-GB"/>
        </w:rPr>
        <w:t xml:space="preserve">, </w:t>
      </w:r>
      <w:proofErr w:type="spellStart"/>
      <w:r w:rsidRPr="00D51EF4">
        <w:rPr>
          <w:sz w:val="20"/>
          <w:szCs w:val="20"/>
          <w:lang w:val="en-GB"/>
        </w:rPr>
        <w:t>nonprofit</w:t>
      </w:r>
      <w:proofErr w:type="spellEnd"/>
      <w:r w:rsidRPr="00D51EF4">
        <w:rPr>
          <w:sz w:val="20"/>
          <w:szCs w:val="20"/>
          <w:lang w:val="en-GB"/>
        </w:rPr>
        <w:t xml:space="preserve"> microfinance institutions (MFIs) and for-profit M</w:t>
      </w:r>
      <w:r w:rsidR="00953415" w:rsidRPr="00D51EF4">
        <w:rPr>
          <w:sz w:val="20"/>
          <w:szCs w:val="20"/>
          <w:lang w:val="en-GB"/>
        </w:rPr>
        <w:t xml:space="preserve">FIs. The table </w:t>
      </w:r>
      <w:proofErr w:type="gramStart"/>
      <w:r w:rsidR="00953415" w:rsidRPr="00D51EF4">
        <w:rPr>
          <w:sz w:val="20"/>
          <w:szCs w:val="20"/>
          <w:lang w:val="en-GB"/>
        </w:rPr>
        <w:t>is based</w:t>
      </w:r>
      <w:proofErr w:type="gramEnd"/>
      <w:r w:rsidR="00953415" w:rsidRPr="00D51EF4">
        <w:rPr>
          <w:sz w:val="20"/>
          <w:szCs w:val="20"/>
          <w:lang w:val="en-GB"/>
        </w:rPr>
        <w:t xml:space="preserve"> on Galem</w:t>
      </w:r>
      <w:r w:rsidRPr="00D51EF4">
        <w:rPr>
          <w:sz w:val="20"/>
          <w:szCs w:val="20"/>
          <w:lang w:val="en-GB"/>
        </w:rPr>
        <w:t>a</w:t>
      </w:r>
      <w:r w:rsidR="00277FE8" w:rsidRPr="00D51EF4">
        <w:rPr>
          <w:sz w:val="20"/>
          <w:szCs w:val="20"/>
          <w:lang w:val="en-GB"/>
        </w:rPr>
        <w:t xml:space="preserve"> et al.</w:t>
      </w:r>
      <w:r w:rsidR="00C82C4D" w:rsidRPr="00D51EF4">
        <w:rPr>
          <w:sz w:val="20"/>
          <w:szCs w:val="20"/>
          <w:lang w:val="en-GB"/>
        </w:rPr>
        <w:t xml:space="preserve"> </w:t>
      </w:r>
      <w:r w:rsidRPr="00D51EF4">
        <w:rPr>
          <w:sz w:val="20"/>
          <w:szCs w:val="20"/>
          <w:lang w:val="en-GB"/>
        </w:rPr>
        <w:t>(</w:t>
      </w:r>
      <w:r w:rsidR="00502793" w:rsidRPr="00D51EF4">
        <w:rPr>
          <w:sz w:val="20"/>
          <w:szCs w:val="20"/>
          <w:lang w:val="en-GB"/>
        </w:rPr>
        <w:t>2012</w:t>
      </w:r>
      <w:r w:rsidRPr="00D51EF4">
        <w:rPr>
          <w:sz w:val="20"/>
          <w:szCs w:val="20"/>
          <w:lang w:val="en-GB"/>
        </w:rPr>
        <w:t>).</w:t>
      </w:r>
    </w:p>
    <w:p w14:paraId="2D01232F" w14:textId="77777777" w:rsidR="00725FED" w:rsidRPr="00D51EF4" w:rsidRDefault="00725FED">
      <w:pPr>
        <w:spacing w:after="200" w:line="276" w:lineRule="auto"/>
        <w:rPr>
          <w:b/>
          <w:i/>
          <w:lang w:val="en-GB"/>
        </w:rPr>
      </w:pPr>
      <w:r w:rsidRPr="00D51EF4">
        <w:rPr>
          <w:b/>
          <w:i/>
          <w:lang w:val="en-GB"/>
        </w:rPr>
        <w:br w:type="page"/>
      </w:r>
    </w:p>
    <w:p w14:paraId="1FAF8C8E" w14:textId="77777777" w:rsidR="00BB5105" w:rsidRPr="00D51EF4" w:rsidRDefault="00BB5105" w:rsidP="00BB5105">
      <w:pPr>
        <w:autoSpaceDE w:val="0"/>
        <w:autoSpaceDN w:val="0"/>
        <w:adjustRightInd w:val="0"/>
        <w:spacing w:line="480" w:lineRule="auto"/>
        <w:rPr>
          <w:b/>
          <w:i/>
          <w:lang w:val="en-GB"/>
        </w:rPr>
      </w:pPr>
      <w:r w:rsidRPr="00D51EF4">
        <w:rPr>
          <w:b/>
          <w:i/>
          <w:lang w:val="en-GB"/>
        </w:rPr>
        <w:lastRenderedPageBreak/>
        <w:t xml:space="preserve">Table </w:t>
      </w:r>
      <w:r w:rsidR="00A1711B" w:rsidRPr="00D51EF4">
        <w:rPr>
          <w:b/>
          <w:i/>
          <w:lang w:val="en-GB"/>
        </w:rPr>
        <w:t>3</w:t>
      </w:r>
      <w:r w:rsidRPr="00D51EF4">
        <w:rPr>
          <w:b/>
          <w:i/>
          <w:lang w:val="en-GB"/>
        </w:rPr>
        <w:t>: Earnings Quality as Measured by Earnings Smoothness</w:t>
      </w:r>
    </w:p>
    <w:tbl>
      <w:tblPr>
        <w:tblW w:w="8400" w:type="dxa"/>
        <w:tblInd w:w="93" w:type="dxa"/>
        <w:tblLook w:val="04A0" w:firstRow="1" w:lastRow="0" w:firstColumn="1" w:lastColumn="0" w:noHBand="0" w:noVBand="1"/>
      </w:tblPr>
      <w:tblGrid>
        <w:gridCol w:w="2640"/>
        <w:gridCol w:w="960"/>
        <w:gridCol w:w="960"/>
        <w:gridCol w:w="960"/>
        <w:gridCol w:w="960"/>
        <w:gridCol w:w="960"/>
        <w:gridCol w:w="960"/>
      </w:tblGrid>
      <w:tr w:rsidR="00BB5105" w:rsidRPr="00D51EF4" w14:paraId="18EC659C" w14:textId="77777777" w:rsidTr="00BB5105">
        <w:trPr>
          <w:trHeight w:val="300"/>
        </w:trPr>
        <w:tc>
          <w:tcPr>
            <w:tcW w:w="2640" w:type="dxa"/>
            <w:tcBorders>
              <w:top w:val="nil"/>
              <w:left w:val="nil"/>
              <w:bottom w:val="nil"/>
              <w:right w:val="nil"/>
            </w:tcBorders>
            <w:shd w:val="clear" w:color="auto" w:fill="auto"/>
            <w:noWrap/>
            <w:vAlign w:val="bottom"/>
            <w:hideMark/>
          </w:tcPr>
          <w:p w14:paraId="2CAFEC31" w14:textId="77777777" w:rsidR="00BB5105" w:rsidRPr="00D51EF4" w:rsidRDefault="00BB5105" w:rsidP="00BB5105">
            <w:pPr>
              <w:rPr>
                <w:rFonts w:ascii="Calibri" w:hAnsi="Calibri" w:cs="Calibri"/>
                <w:color w:val="000000"/>
                <w:lang w:val="en-GB" w:eastAsia="en-US"/>
              </w:rPr>
            </w:pPr>
          </w:p>
        </w:tc>
        <w:tc>
          <w:tcPr>
            <w:tcW w:w="960" w:type="dxa"/>
            <w:tcBorders>
              <w:top w:val="nil"/>
              <w:left w:val="nil"/>
              <w:bottom w:val="nil"/>
              <w:right w:val="nil"/>
            </w:tcBorders>
            <w:shd w:val="clear" w:color="auto" w:fill="auto"/>
            <w:noWrap/>
            <w:vAlign w:val="bottom"/>
            <w:hideMark/>
          </w:tcPr>
          <w:p w14:paraId="7404EE03" w14:textId="77777777" w:rsidR="00BB5105" w:rsidRPr="00D51EF4" w:rsidRDefault="00BB5105" w:rsidP="00BB5105">
            <w:pPr>
              <w:jc w:val="center"/>
              <w:rPr>
                <w:rFonts w:ascii="Arial" w:hAnsi="Arial" w:cs="Arial"/>
                <w:b/>
                <w:bCs/>
                <w:sz w:val="20"/>
                <w:szCs w:val="20"/>
                <w:lang w:val="en-GB" w:eastAsia="en-US"/>
              </w:rPr>
            </w:pPr>
            <w:r w:rsidRPr="00D51EF4">
              <w:rPr>
                <w:rFonts w:ascii="Arial" w:hAnsi="Arial" w:cs="Arial"/>
                <w:b/>
                <w:bCs/>
                <w:sz w:val="20"/>
                <w:szCs w:val="20"/>
                <w:lang w:val="en-GB" w:eastAsia="en-US"/>
              </w:rPr>
              <w:t>Mean</w:t>
            </w:r>
          </w:p>
        </w:tc>
        <w:tc>
          <w:tcPr>
            <w:tcW w:w="960" w:type="dxa"/>
            <w:tcBorders>
              <w:top w:val="nil"/>
              <w:left w:val="nil"/>
              <w:bottom w:val="nil"/>
              <w:right w:val="nil"/>
            </w:tcBorders>
            <w:shd w:val="clear" w:color="000000" w:fill="C0C0C0"/>
            <w:noWrap/>
            <w:vAlign w:val="bottom"/>
            <w:hideMark/>
          </w:tcPr>
          <w:p w14:paraId="7C2BDD9A" w14:textId="71C03C41" w:rsidR="00BB5105" w:rsidRPr="00D51EF4" w:rsidRDefault="00BB5105" w:rsidP="00BB5105">
            <w:pPr>
              <w:jc w:val="center"/>
              <w:rPr>
                <w:rFonts w:ascii="Arial" w:hAnsi="Arial" w:cs="Arial"/>
                <w:b/>
                <w:bCs/>
                <w:sz w:val="20"/>
                <w:szCs w:val="20"/>
                <w:lang w:val="en-GB" w:eastAsia="en-US"/>
              </w:rPr>
            </w:pPr>
            <w:r w:rsidRPr="00D51EF4">
              <w:rPr>
                <w:rFonts w:ascii="Arial" w:hAnsi="Arial" w:cs="Arial"/>
                <w:b/>
                <w:bCs/>
                <w:sz w:val="20"/>
                <w:szCs w:val="20"/>
                <w:lang w:val="en-GB" w:eastAsia="en-US"/>
              </w:rPr>
              <w:t>St. Dev</w:t>
            </w:r>
            <w:r w:rsidR="00A32262" w:rsidRPr="00D51EF4">
              <w:rPr>
                <w:rFonts w:ascii="Arial" w:hAnsi="Arial" w:cs="Arial"/>
                <w:b/>
                <w:bCs/>
                <w:sz w:val="20"/>
                <w:szCs w:val="20"/>
                <w:lang w:val="en-GB" w:eastAsia="en-US"/>
              </w:rPr>
              <w:t>.</w:t>
            </w:r>
          </w:p>
        </w:tc>
        <w:tc>
          <w:tcPr>
            <w:tcW w:w="960" w:type="dxa"/>
            <w:tcBorders>
              <w:top w:val="nil"/>
              <w:left w:val="nil"/>
              <w:bottom w:val="nil"/>
              <w:right w:val="nil"/>
            </w:tcBorders>
            <w:shd w:val="clear" w:color="auto" w:fill="auto"/>
            <w:noWrap/>
            <w:vAlign w:val="bottom"/>
            <w:hideMark/>
          </w:tcPr>
          <w:p w14:paraId="39E1482B" w14:textId="77777777" w:rsidR="00BB5105" w:rsidRPr="00D51EF4" w:rsidRDefault="00BB5105" w:rsidP="00BB5105">
            <w:pPr>
              <w:jc w:val="center"/>
              <w:rPr>
                <w:rFonts w:ascii="Arial" w:hAnsi="Arial" w:cs="Arial"/>
                <w:b/>
                <w:bCs/>
                <w:sz w:val="20"/>
                <w:szCs w:val="20"/>
                <w:lang w:val="en-GB" w:eastAsia="en-US"/>
              </w:rPr>
            </w:pPr>
            <w:r w:rsidRPr="00D51EF4">
              <w:rPr>
                <w:rFonts w:ascii="Arial" w:hAnsi="Arial" w:cs="Arial"/>
                <w:b/>
                <w:bCs/>
                <w:sz w:val="20"/>
                <w:szCs w:val="20"/>
                <w:lang w:val="en-GB" w:eastAsia="en-US"/>
              </w:rPr>
              <w:t>Q1</w:t>
            </w:r>
          </w:p>
        </w:tc>
        <w:tc>
          <w:tcPr>
            <w:tcW w:w="960" w:type="dxa"/>
            <w:tcBorders>
              <w:top w:val="nil"/>
              <w:left w:val="nil"/>
              <w:bottom w:val="nil"/>
              <w:right w:val="nil"/>
            </w:tcBorders>
            <w:shd w:val="clear" w:color="auto" w:fill="auto"/>
            <w:noWrap/>
            <w:vAlign w:val="bottom"/>
            <w:hideMark/>
          </w:tcPr>
          <w:p w14:paraId="129A70C4" w14:textId="77777777" w:rsidR="00BB5105" w:rsidRPr="00D51EF4" w:rsidRDefault="00BB5105" w:rsidP="00BB5105">
            <w:pPr>
              <w:jc w:val="center"/>
              <w:rPr>
                <w:rFonts w:ascii="Arial" w:hAnsi="Arial" w:cs="Arial"/>
                <w:b/>
                <w:bCs/>
                <w:sz w:val="20"/>
                <w:szCs w:val="20"/>
                <w:lang w:val="en-GB" w:eastAsia="en-US"/>
              </w:rPr>
            </w:pPr>
            <w:r w:rsidRPr="00D51EF4">
              <w:rPr>
                <w:rFonts w:ascii="Arial" w:hAnsi="Arial" w:cs="Arial"/>
                <w:b/>
                <w:bCs/>
                <w:sz w:val="20"/>
                <w:szCs w:val="20"/>
                <w:lang w:val="en-GB" w:eastAsia="en-US"/>
              </w:rPr>
              <w:t>Median</w:t>
            </w:r>
          </w:p>
        </w:tc>
        <w:tc>
          <w:tcPr>
            <w:tcW w:w="960" w:type="dxa"/>
            <w:tcBorders>
              <w:top w:val="nil"/>
              <w:left w:val="nil"/>
              <w:bottom w:val="nil"/>
              <w:right w:val="nil"/>
            </w:tcBorders>
            <w:shd w:val="clear" w:color="auto" w:fill="auto"/>
            <w:noWrap/>
            <w:vAlign w:val="bottom"/>
            <w:hideMark/>
          </w:tcPr>
          <w:p w14:paraId="49E4CC32" w14:textId="77777777" w:rsidR="00BB5105" w:rsidRPr="00D51EF4" w:rsidRDefault="00BB5105" w:rsidP="00BB5105">
            <w:pPr>
              <w:jc w:val="center"/>
              <w:rPr>
                <w:rFonts w:ascii="Arial" w:hAnsi="Arial" w:cs="Arial"/>
                <w:b/>
                <w:bCs/>
                <w:sz w:val="20"/>
                <w:szCs w:val="20"/>
                <w:lang w:val="en-GB" w:eastAsia="en-US"/>
              </w:rPr>
            </w:pPr>
            <w:r w:rsidRPr="00D51EF4">
              <w:rPr>
                <w:rFonts w:ascii="Arial" w:hAnsi="Arial" w:cs="Arial"/>
                <w:b/>
                <w:bCs/>
                <w:sz w:val="20"/>
                <w:szCs w:val="20"/>
                <w:lang w:val="en-GB" w:eastAsia="en-US"/>
              </w:rPr>
              <w:t>Q3</w:t>
            </w:r>
          </w:p>
        </w:tc>
        <w:tc>
          <w:tcPr>
            <w:tcW w:w="960" w:type="dxa"/>
            <w:tcBorders>
              <w:top w:val="nil"/>
              <w:left w:val="nil"/>
              <w:bottom w:val="nil"/>
              <w:right w:val="nil"/>
            </w:tcBorders>
            <w:shd w:val="clear" w:color="auto" w:fill="auto"/>
            <w:noWrap/>
            <w:vAlign w:val="bottom"/>
            <w:hideMark/>
          </w:tcPr>
          <w:p w14:paraId="697A6E75" w14:textId="77777777" w:rsidR="00BB5105" w:rsidRPr="00D51EF4" w:rsidRDefault="00BB5105" w:rsidP="00BB5105">
            <w:pPr>
              <w:jc w:val="center"/>
              <w:rPr>
                <w:rFonts w:ascii="Arial" w:hAnsi="Arial" w:cs="Arial"/>
                <w:b/>
                <w:bCs/>
                <w:sz w:val="20"/>
                <w:szCs w:val="20"/>
                <w:lang w:val="en-GB" w:eastAsia="en-US"/>
              </w:rPr>
            </w:pPr>
            <w:r w:rsidRPr="00D51EF4">
              <w:rPr>
                <w:rFonts w:ascii="Arial" w:hAnsi="Arial" w:cs="Arial"/>
                <w:b/>
                <w:bCs/>
                <w:sz w:val="20"/>
                <w:szCs w:val="20"/>
                <w:lang w:val="en-GB" w:eastAsia="en-US"/>
              </w:rPr>
              <w:t>n</w:t>
            </w:r>
          </w:p>
        </w:tc>
      </w:tr>
      <w:tr w:rsidR="00BB5105" w:rsidRPr="00D51EF4" w14:paraId="3C1135BA" w14:textId="77777777" w:rsidTr="00BB5105">
        <w:trPr>
          <w:trHeight w:val="300"/>
        </w:trPr>
        <w:tc>
          <w:tcPr>
            <w:tcW w:w="2640" w:type="dxa"/>
            <w:tcBorders>
              <w:top w:val="nil"/>
              <w:left w:val="nil"/>
              <w:bottom w:val="nil"/>
              <w:right w:val="nil"/>
            </w:tcBorders>
            <w:shd w:val="clear" w:color="auto" w:fill="auto"/>
            <w:noWrap/>
            <w:vAlign w:val="bottom"/>
            <w:hideMark/>
          </w:tcPr>
          <w:p w14:paraId="4002C2C0" w14:textId="77777777" w:rsidR="00BB5105" w:rsidRPr="00D51EF4" w:rsidRDefault="00BB5105" w:rsidP="00BB5105">
            <w:pPr>
              <w:rPr>
                <w:rFonts w:ascii="Arial" w:hAnsi="Arial" w:cs="Arial"/>
                <w:b/>
                <w:bCs/>
                <w:sz w:val="20"/>
                <w:szCs w:val="20"/>
                <w:lang w:val="en-GB" w:eastAsia="en-US"/>
              </w:rPr>
            </w:pPr>
          </w:p>
        </w:tc>
        <w:tc>
          <w:tcPr>
            <w:tcW w:w="960" w:type="dxa"/>
            <w:tcBorders>
              <w:top w:val="nil"/>
              <w:left w:val="nil"/>
              <w:bottom w:val="nil"/>
              <w:right w:val="nil"/>
            </w:tcBorders>
            <w:shd w:val="clear" w:color="auto" w:fill="auto"/>
            <w:noWrap/>
            <w:vAlign w:val="bottom"/>
            <w:hideMark/>
          </w:tcPr>
          <w:p w14:paraId="44F6189D" w14:textId="77777777" w:rsidR="00BB5105" w:rsidRPr="00D51EF4" w:rsidRDefault="00BB5105" w:rsidP="00BB5105">
            <w:pPr>
              <w:jc w:val="center"/>
              <w:rPr>
                <w:rFonts w:ascii="Calibri" w:hAnsi="Calibri" w:cs="Calibri"/>
                <w:color w:val="000000"/>
                <w:lang w:val="en-GB" w:eastAsia="en-US"/>
              </w:rPr>
            </w:pPr>
          </w:p>
        </w:tc>
        <w:tc>
          <w:tcPr>
            <w:tcW w:w="960" w:type="dxa"/>
            <w:tcBorders>
              <w:top w:val="nil"/>
              <w:left w:val="nil"/>
              <w:bottom w:val="nil"/>
              <w:right w:val="nil"/>
            </w:tcBorders>
            <w:shd w:val="clear" w:color="000000" w:fill="C0C0C0"/>
            <w:noWrap/>
            <w:vAlign w:val="bottom"/>
            <w:hideMark/>
          </w:tcPr>
          <w:p w14:paraId="301B2936" w14:textId="77777777" w:rsidR="00BB5105" w:rsidRPr="00D51EF4" w:rsidRDefault="00BB5105" w:rsidP="00BB5105">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 </w:t>
            </w:r>
          </w:p>
        </w:tc>
        <w:tc>
          <w:tcPr>
            <w:tcW w:w="960" w:type="dxa"/>
            <w:tcBorders>
              <w:top w:val="nil"/>
              <w:left w:val="nil"/>
              <w:bottom w:val="nil"/>
              <w:right w:val="nil"/>
            </w:tcBorders>
            <w:shd w:val="clear" w:color="auto" w:fill="auto"/>
            <w:noWrap/>
            <w:vAlign w:val="bottom"/>
            <w:hideMark/>
          </w:tcPr>
          <w:p w14:paraId="1D08BEDB" w14:textId="77777777" w:rsidR="00BB5105" w:rsidRPr="00D51EF4" w:rsidRDefault="00BB5105" w:rsidP="00BB5105">
            <w:pPr>
              <w:jc w:val="center"/>
              <w:rPr>
                <w:rFonts w:ascii="Calibri" w:hAnsi="Calibri" w:cs="Calibri"/>
                <w:color w:val="000000"/>
                <w:lang w:val="en-GB" w:eastAsia="en-US"/>
              </w:rPr>
            </w:pPr>
          </w:p>
        </w:tc>
        <w:tc>
          <w:tcPr>
            <w:tcW w:w="960" w:type="dxa"/>
            <w:tcBorders>
              <w:top w:val="nil"/>
              <w:left w:val="nil"/>
              <w:bottom w:val="nil"/>
              <w:right w:val="nil"/>
            </w:tcBorders>
            <w:shd w:val="clear" w:color="auto" w:fill="auto"/>
            <w:noWrap/>
            <w:vAlign w:val="bottom"/>
            <w:hideMark/>
          </w:tcPr>
          <w:p w14:paraId="738EA0E9" w14:textId="77777777" w:rsidR="00BB5105" w:rsidRPr="00D51EF4" w:rsidRDefault="00BB5105" w:rsidP="00BB5105">
            <w:pPr>
              <w:jc w:val="center"/>
              <w:rPr>
                <w:rFonts w:ascii="Calibri" w:hAnsi="Calibri" w:cs="Calibri"/>
                <w:color w:val="000000"/>
                <w:lang w:val="en-GB" w:eastAsia="en-US"/>
              </w:rPr>
            </w:pPr>
          </w:p>
        </w:tc>
        <w:tc>
          <w:tcPr>
            <w:tcW w:w="960" w:type="dxa"/>
            <w:tcBorders>
              <w:top w:val="nil"/>
              <w:left w:val="nil"/>
              <w:bottom w:val="nil"/>
              <w:right w:val="nil"/>
            </w:tcBorders>
            <w:shd w:val="clear" w:color="auto" w:fill="auto"/>
            <w:noWrap/>
            <w:vAlign w:val="bottom"/>
            <w:hideMark/>
          </w:tcPr>
          <w:p w14:paraId="41C0042E" w14:textId="77777777" w:rsidR="00BB5105" w:rsidRPr="00D51EF4" w:rsidRDefault="00BB5105" w:rsidP="00BB5105">
            <w:pPr>
              <w:jc w:val="center"/>
              <w:rPr>
                <w:rFonts w:ascii="Calibri" w:hAnsi="Calibri" w:cs="Calibri"/>
                <w:color w:val="000000"/>
                <w:lang w:val="en-GB" w:eastAsia="en-US"/>
              </w:rPr>
            </w:pPr>
          </w:p>
        </w:tc>
        <w:tc>
          <w:tcPr>
            <w:tcW w:w="960" w:type="dxa"/>
            <w:tcBorders>
              <w:top w:val="nil"/>
              <w:left w:val="nil"/>
              <w:bottom w:val="nil"/>
              <w:right w:val="nil"/>
            </w:tcBorders>
            <w:shd w:val="clear" w:color="auto" w:fill="auto"/>
            <w:noWrap/>
            <w:vAlign w:val="bottom"/>
            <w:hideMark/>
          </w:tcPr>
          <w:p w14:paraId="7E6D2429" w14:textId="77777777" w:rsidR="00BB5105" w:rsidRPr="00D51EF4" w:rsidRDefault="00BB5105" w:rsidP="00BB5105">
            <w:pPr>
              <w:jc w:val="center"/>
              <w:rPr>
                <w:rFonts w:ascii="Calibri" w:hAnsi="Calibri" w:cs="Calibri"/>
                <w:color w:val="000000"/>
                <w:lang w:val="en-GB" w:eastAsia="en-US"/>
              </w:rPr>
            </w:pPr>
          </w:p>
        </w:tc>
      </w:tr>
      <w:tr w:rsidR="00BB5105" w:rsidRPr="00D51EF4" w14:paraId="748BB13C" w14:textId="77777777" w:rsidTr="00BB5105">
        <w:trPr>
          <w:trHeight w:val="300"/>
        </w:trPr>
        <w:tc>
          <w:tcPr>
            <w:tcW w:w="2640" w:type="dxa"/>
            <w:tcBorders>
              <w:top w:val="nil"/>
              <w:left w:val="nil"/>
              <w:bottom w:val="nil"/>
              <w:right w:val="nil"/>
            </w:tcBorders>
            <w:shd w:val="clear" w:color="auto" w:fill="auto"/>
            <w:noWrap/>
            <w:vAlign w:val="bottom"/>
            <w:hideMark/>
          </w:tcPr>
          <w:p w14:paraId="7B46EBB8" w14:textId="77777777" w:rsidR="00BB5105" w:rsidRPr="00D51EF4" w:rsidRDefault="00BB5105" w:rsidP="00BB5105">
            <w:pPr>
              <w:rPr>
                <w:rFonts w:ascii="Arial" w:hAnsi="Arial" w:cs="Arial"/>
                <w:b/>
                <w:bCs/>
                <w:sz w:val="20"/>
                <w:szCs w:val="20"/>
                <w:lang w:val="en-GB" w:eastAsia="en-US"/>
              </w:rPr>
            </w:pPr>
            <w:r w:rsidRPr="00D51EF4">
              <w:rPr>
                <w:rFonts w:ascii="Arial" w:hAnsi="Arial" w:cs="Arial"/>
                <w:b/>
                <w:bCs/>
                <w:sz w:val="20"/>
                <w:szCs w:val="20"/>
                <w:lang w:val="en-GB" w:eastAsia="en-US"/>
              </w:rPr>
              <w:t>For-profit MFIs</w:t>
            </w:r>
          </w:p>
        </w:tc>
        <w:tc>
          <w:tcPr>
            <w:tcW w:w="960" w:type="dxa"/>
            <w:tcBorders>
              <w:top w:val="nil"/>
              <w:left w:val="nil"/>
              <w:bottom w:val="nil"/>
              <w:right w:val="nil"/>
            </w:tcBorders>
            <w:shd w:val="clear" w:color="auto" w:fill="auto"/>
            <w:noWrap/>
            <w:vAlign w:val="bottom"/>
            <w:hideMark/>
          </w:tcPr>
          <w:p w14:paraId="6ACDF929" w14:textId="77777777" w:rsidR="00BB5105" w:rsidRPr="00D51EF4" w:rsidRDefault="00BB5105" w:rsidP="00BB5105">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0.004</w:t>
            </w:r>
          </w:p>
        </w:tc>
        <w:tc>
          <w:tcPr>
            <w:tcW w:w="960" w:type="dxa"/>
            <w:tcBorders>
              <w:top w:val="nil"/>
              <w:left w:val="nil"/>
              <w:bottom w:val="nil"/>
              <w:right w:val="nil"/>
            </w:tcBorders>
            <w:shd w:val="clear" w:color="000000" w:fill="C0C0C0"/>
            <w:noWrap/>
            <w:vAlign w:val="bottom"/>
            <w:hideMark/>
          </w:tcPr>
          <w:p w14:paraId="7ADC9BE4" w14:textId="77777777" w:rsidR="00BB5105" w:rsidRPr="00D51EF4" w:rsidRDefault="00BB5105" w:rsidP="00BB5105">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0.109</w:t>
            </w:r>
          </w:p>
        </w:tc>
        <w:tc>
          <w:tcPr>
            <w:tcW w:w="960" w:type="dxa"/>
            <w:tcBorders>
              <w:top w:val="nil"/>
              <w:left w:val="nil"/>
              <w:bottom w:val="nil"/>
              <w:right w:val="nil"/>
            </w:tcBorders>
            <w:shd w:val="clear" w:color="auto" w:fill="auto"/>
            <w:noWrap/>
            <w:vAlign w:val="bottom"/>
            <w:hideMark/>
          </w:tcPr>
          <w:p w14:paraId="7C557FB9" w14:textId="77777777" w:rsidR="00BB5105" w:rsidRPr="00D51EF4" w:rsidRDefault="00BB5105" w:rsidP="00BB5105">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-0.013</w:t>
            </w:r>
          </w:p>
        </w:tc>
        <w:tc>
          <w:tcPr>
            <w:tcW w:w="960" w:type="dxa"/>
            <w:tcBorders>
              <w:top w:val="nil"/>
              <w:left w:val="nil"/>
              <w:bottom w:val="nil"/>
              <w:right w:val="nil"/>
            </w:tcBorders>
            <w:shd w:val="clear" w:color="auto" w:fill="auto"/>
            <w:noWrap/>
            <w:vAlign w:val="bottom"/>
            <w:hideMark/>
          </w:tcPr>
          <w:p w14:paraId="7711CCD2" w14:textId="77777777" w:rsidR="00BB5105" w:rsidRPr="00D51EF4" w:rsidRDefault="00BB5105" w:rsidP="00BB5105">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0.023</w:t>
            </w:r>
          </w:p>
        </w:tc>
        <w:tc>
          <w:tcPr>
            <w:tcW w:w="960" w:type="dxa"/>
            <w:tcBorders>
              <w:top w:val="nil"/>
              <w:left w:val="nil"/>
              <w:bottom w:val="nil"/>
              <w:right w:val="nil"/>
            </w:tcBorders>
            <w:shd w:val="clear" w:color="auto" w:fill="auto"/>
            <w:noWrap/>
            <w:vAlign w:val="bottom"/>
            <w:hideMark/>
          </w:tcPr>
          <w:p w14:paraId="00EB94CC" w14:textId="77777777" w:rsidR="00BB5105" w:rsidRPr="00D51EF4" w:rsidRDefault="00BB5105" w:rsidP="00BB5105">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0.055</w:t>
            </w:r>
          </w:p>
        </w:tc>
        <w:tc>
          <w:tcPr>
            <w:tcW w:w="960" w:type="dxa"/>
            <w:tcBorders>
              <w:top w:val="nil"/>
              <w:left w:val="nil"/>
              <w:bottom w:val="nil"/>
              <w:right w:val="nil"/>
            </w:tcBorders>
            <w:shd w:val="clear" w:color="auto" w:fill="auto"/>
            <w:noWrap/>
            <w:vAlign w:val="bottom"/>
            <w:hideMark/>
          </w:tcPr>
          <w:p w14:paraId="68B7F700" w14:textId="77777777" w:rsidR="00BB5105" w:rsidRPr="00D51EF4" w:rsidRDefault="00BB5105" w:rsidP="00BB5105">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521</w:t>
            </w:r>
          </w:p>
        </w:tc>
      </w:tr>
      <w:tr w:rsidR="00BB5105" w:rsidRPr="00D51EF4" w14:paraId="2B37D690" w14:textId="77777777" w:rsidTr="00BB5105">
        <w:trPr>
          <w:trHeight w:val="300"/>
        </w:trPr>
        <w:tc>
          <w:tcPr>
            <w:tcW w:w="2640" w:type="dxa"/>
            <w:tcBorders>
              <w:top w:val="nil"/>
              <w:left w:val="nil"/>
              <w:bottom w:val="nil"/>
              <w:right w:val="nil"/>
            </w:tcBorders>
            <w:shd w:val="clear" w:color="auto" w:fill="auto"/>
            <w:noWrap/>
            <w:vAlign w:val="bottom"/>
            <w:hideMark/>
          </w:tcPr>
          <w:p w14:paraId="2E1B483A" w14:textId="77777777" w:rsidR="00BB5105" w:rsidRPr="00D51EF4" w:rsidRDefault="00BB5105" w:rsidP="00BB5105">
            <w:pPr>
              <w:rPr>
                <w:rFonts w:ascii="Arial" w:hAnsi="Arial" w:cs="Arial"/>
                <w:b/>
                <w:bCs/>
                <w:sz w:val="20"/>
                <w:szCs w:val="20"/>
                <w:lang w:val="en-GB" w:eastAsia="en-US"/>
              </w:rPr>
            </w:pPr>
          </w:p>
        </w:tc>
        <w:tc>
          <w:tcPr>
            <w:tcW w:w="960" w:type="dxa"/>
            <w:tcBorders>
              <w:top w:val="nil"/>
              <w:left w:val="nil"/>
              <w:bottom w:val="nil"/>
              <w:right w:val="nil"/>
            </w:tcBorders>
            <w:shd w:val="clear" w:color="auto" w:fill="auto"/>
            <w:noWrap/>
            <w:vAlign w:val="bottom"/>
            <w:hideMark/>
          </w:tcPr>
          <w:p w14:paraId="67AEB59B" w14:textId="77777777" w:rsidR="00BB5105" w:rsidRPr="00D51EF4" w:rsidRDefault="00BB5105" w:rsidP="00BB5105">
            <w:pPr>
              <w:jc w:val="center"/>
              <w:rPr>
                <w:rFonts w:ascii="Calibri" w:hAnsi="Calibri" w:cs="Calibri"/>
                <w:color w:val="000000"/>
                <w:lang w:val="en-GB" w:eastAsia="en-US"/>
              </w:rPr>
            </w:pPr>
          </w:p>
        </w:tc>
        <w:tc>
          <w:tcPr>
            <w:tcW w:w="960" w:type="dxa"/>
            <w:tcBorders>
              <w:top w:val="nil"/>
              <w:left w:val="nil"/>
              <w:bottom w:val="nil"/>
              <w:right w:val="nil"/>
            </w:tcBorders>
            <w:shd w:val="clear" w:color="000000" w:fill="C0C0C0"/>
            <w:noWrap/>
            <w:vAlign w:val="bottom"/>
            <w:hideMark/>
          </w:tcPr>
          <w:p w14:paraId="3479E1A9" w14:textId="77777777" w:rsidR="00BB5105" w:rsidRPr="00D51EF4" w:rsidRDefault="00BB5105" w:rsidP="00BB5105">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 </w:t>
            </w:r>
          </w:p>
        </w:tc>
        <w:tc>
          <w:tcPr>
            <w:tcW w:w="960" w:type="dxa"/>
            <w:tcBorders>
              <w:top w:val="nil"/>
              <w:left w:val="nil"/>
              <w:bottom w:val="nil"/>
              <w:right w:val="nil"/>
            </w:tcBorders>
            <w:shd w:val="clear" w:color="auto" w:fill="auto"/>
            <w:noWrap/>
            <w:vAlign w:val="bottom"/>
            <w:hideMark/>
          </w:tcPr>
          <w:p w14:paraId="42D2EEE1" w14:textId="77777777" w:rsidR="00BB5105" w:rsidRPr="00D51EF4" w:rsidRDefault="00BB5105" w:rsidP="00BB5105">
            <w:pPr>
              <w:jc w:val="center"/>
              <w:rPr>
                <w:rFonts w:ascii="Calibri" w:hAnsi="Calibri" w:cs="Calibri"/>
                <w:color w:val="000000"/>
                <w:lang w:val="en-GB" w:eastAsia="en-US"/>
              </w:rPr>
            </w:pPr>
          </w:p>
        </w:tc>
        <w:tc>
          <w:tcPr>
            <w:tcW w:w="960" w:type="dxa"/>
            <w:tcBorders>
              <w:top w:val="nil"/>
              <w:left w:val="nil"/>
              <w:bottom w:val="nil"/>
              <w:right w:val="nil"/>
            </w:tcBorders>
            <w:shd w:val="clear" w:color="auto" w:fill="auto"/>
            <w:noWrap/>
            <w:vAlign w:val="bottom"/>
            <w:hideMark/>
          </w:tcPr>
          <w:p w14:paraId="31230974" w14:textId="77777777" w:rsidR="00BB5105" w:rsidRPr="00D51EF4" w:rsidRDefault="00BB5105" w:rsidP="00BB5105">
            <w:pPr>
              <w:jc w:val="center"/>
              <w:rPr>
                <w:rFonts w:ascii="Calibri" w:hAnsi="Calibri" w:cs="Calibri"/>
                <w:color w:val="000000"/>
                <w:lang w:val="en-GB" w:eastAsia="en-US"/>
              </w:rPr>
            </w:pPr>
          </w:p>
        </w:tc>
        <w:tc>
          <w:tcPr>
            <w:tcW w:w="960" w:type="dxa"/>
            <w:tcBorders>
              <w:top w:val="nil"/>
              <w:left w:val="nil"/>
              <w:bottom w:val="nil"/>
              <w:right w:val="nil"/>
            </w:tcBorders>
            <w:shd w:val="clear" w:color="auto" w:fill="auto"/>
            <w:noWrap/>
            <w:vAlign w:val="bottom"/>
            <w:hideMark/>
          </w:tcPr>
          <w:p w14:paraId="282E6735" w14:textId="77777777" w:rsidR="00BB5105" w:rsidRPr="00D51EF4" w:rsidRDefault="00BB5105" w:rsidP="00BB5105">
            <w:pPr>
              <w:jc w:val="center"/>
              <w:rPr>
                <w:rFonts w:ascii="Calibri" w:hAnsi="Calibri" w:cs="Calibri"/>
                <w:color w:val="000000"/>
                <w:lang w:val="en-GB" w:eastAsia="en-US"/>
              </w:rPr>
            </w:pPr>
          </w:p>
        </w:tc>
        <w:tc>
          <w:tcPr>
            <w:tcW w:w="960" w:type="dxa"/>
            <w:tcBorders>
              <w:top w:val="nil"/>
              <w:left w:val="nil"/>
              <w:bottom w:val="nil"/>
              <w:right w:val="nil"/>
            </w:tcBorders>
            <w:shd w:val="clear" w:color="auto" w:fill="auto"/>
            <w:noWrap/>
            <w:vAlign w:val="bottom"/>
            <w:hideMark/>
          </w:tcPr>
          <w:p w14:paraId="173A1B59" w14:textId="77777777" w:rsidR="00BB5105" w:rsidRPr="00D51EF4" w:rsidRDefault="00BB5105" w:rsidP="00BB5105">
            <w:pPr>
              <w:jc w:val="center"/>
              <w:rPr>
                <w:rFonts w:ascii="Calibri" w:hAnsi="Calibri" w:cs="Calibri"/>
                <w:color w:val="000000"/>
                <w:lang w:val="en-GB" w:eastAsia="en-US"/>
              </w:rPr>
            </w:pPr>
          </w:p>
        </w:tc>
      </w:tr>
      <w:tr w:rsidR="00BB5105" w:rsidRPr="00D51EF4" w14:paraId="512CD8D2" w14:textId="77777777" w:rsidTr="00BB5105">
        <w:trPr>
          <w:trHeight w:val="300"/>
        </w:trPr>
        <w:tc>
          <w:tcPr>
            <w:tcW w:w="2640" w:type="dxa"/>
            <w:tcBorders>
              <w:top w:val="nil"/>
              <w:left w:val="nil"/>
              <w:bottom w:val="nil"/>
              <w:right w:val="nil"/>
            </w:tcBorders>
            <w:shd w:val="clear" w:color="auto" w:fill="auto"/>
            <w:noWrap/>
            <w:vAlign w:val="bottom"/>
            <w:hideMark/>
          </w:tcPr>
          <w:p w14:paraId="182F12C1" w14:textId="65B56564" w:rsidR="00BB5105" w:rsidRPr="00D51EF4" w:rsidRDefault="007E28B9" w:rsidP="00BB5105">
            <w:pPr>
              <w:rPr>
                <w:rFonts w:ascii="Arial" w:hAnsi="Arial" w:cs="Arial"/>
                <w:b/>
                <w:bCs/>
                <w:sz w:val="20"/>
                <w:szCs w:val="20"/>
                <w:lang w:val="en-GB" w:eastAsia="en-US"/>
              </w:rPr>
            </w:pPr>
            <w:proofErr w:type="spellStart"/>
            <w:r>
              <w:rPr>
                <w:rFonts w:ascii="Arial" w:hAnsi="Arial" w:cs="Arial"/>
                <w:b/>
                <w:bCs/>
                <w:sz w:val="20"/>
                <w:szCs w:val="20"/>
                <w:lang w:val="en-GB" w:eastAsia="en-US"/>
              </w:rPr>
              <w:t>Non</w:t>
            </w:r>
            <w:r w:rsidR="00BB5105" w:rsidRPr="00D51EF4">
              <w:rPr>
                <w:rFonts w:ascii="Arial" w:hAnsi="Arial" w:cs="Arial"/>
                <w:b/>
                <w:bCs/>
                <w:sz w:val="20"/>
                <w:szCs w:val="20"/>
                <w:lang w:val="en-GB" w:eastAsia="en-US"/>
              </w:rPr>
              <w:t>profit</w:t>
            </w:r>
            <w:proofErr w:type="spellEnd"/>
            <w:r w:rsidR="00BB5105" w:rsidRPr="00D51EF4">
              <w:rPr>
                <w:rFonts w:ascii="Arial" w:hAnsi="Arial" w:cs="Arial"/>
                <w:b/>
                <w:bCs/>
                <w:sz w:val="20"/>
                <w:szCs w:val="20"/>
                <w:lang w:val="en-GB" w:eastAsia="en-US"/>
              </w:rPr>
              <w:t xml:space="preserve"> MFIs</w:t>
            </w:r>
          </w:p>
        </w:tc>
        <w:tc>
          <w:tcPr>
            <w:tcW w:w="960" w:type="dxa"/>
            <w:tcBorders>
              <w:top w:val="nil"/>
              <w:left w:val="nil"/>
              <w:bottom w:val="nil"/>
              <w:right w:val="nil"/>
            </w:tcBorders>
            <w:shd w:val="clear" w:color="auto" w:fill="auto"/>
            <w:noWrap/>
            <w:vAlign w:val="bottom"/>
            <w:hideMark/>
          </w:tcPr>
          <w:p w14:paraId="60EF31AE" w14:textId="77777777" w:rsidR="00BB5105" w:rsidRPr="00D51EF4" w:rsidRDefault="00BB5105" w:rsidP="00BB5105">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0.014</w:t>
            </w:r>
          </w:p>
        </w:tc>
        <w:tc>
          <w:tcPr>
            <w:tcW w:w="960" w:type="dxa"/>
            <w:tcBorders>
              <w:top w:val="nil"/>
              <w:left w:val="nil"/>
              <w:bottom w:val="nil"/>
              <w:right w:val="nil"/>
            </w:tcBorders>
            <w:shd w:val="clear" w:color="000000" w:fill="C0C0C0"/>
            <w:noWrap/>
            <w:vAlign w:val="bottom"/>
            <w:hideMark/>
          </w:tcPr>
          <w:p w14:paraId="5351C98F" w14:textId="77777777" w:rsidR="00BB5105" w:rsidRPr="00D51EF4" w:rsidRDefault="00BB5105" w:rsidP="00BB5105">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0.113</w:t>
            </w:r>
          </w:p>
        </w:tc>
        <w:tc>
          <w:tcPr>
            <w:tcW w:w="960" w:type="dxa"/>
            <w:tcBorders>
              <w:top w:val="nil"/>
              <w:left w:val="nil"/>
              <w:bottom w:val="nil"/>
              <w:right w:val="nil"/>
            </w:tcBorders>
            <w:shd w:val="clear" w:color="auto" w:fill="auto"/>
            <w:noWrap/>
            <w:vAlign w:val="bottom"/>
            <w:hideMark/>
          </w:tcPr>
          <w:p w14:paraId="03AE5BA1" w14:textId="77777777" w:rsidR="00BB5105" w:rsidRPr="00D51EF4" w:rsidRDefault="00BB5105" w:rsidP="00BB5105">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-0.005</w:t>
            </w:r>
          </w:p>
        </w:tc>
        <w:tc>
          <w:tcPr>
            <w:tcW w:w="960" w:type="dxa"/>
            <w:tcBorders>
              <w:top w:val="nil"/>
              <w:left w:val="nil"/>
              <w:bottom w:val="nil"/>
              <w:right w:val="nil"/>
            </w:tcBorders>
            <w:shd w:val="clear" w:color="auto" w:fill="auto"/>
            <w:noWrap/>
            <w:vAlign w:val="bottom"/>
            <w:hideMark/>
          </w:tcPr>
          <w:p w14:paraId="52FDD973" w14:textId="77777777" w:rsidR="00BB5105" w:rsidRPr="00D51EF4" w:rsidRDefault="00BB5105" w:rsidP="00BB5105">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0.024</w:t>
            </w:r>
          </w:p>
        </w:tc>
        <w:tc>
          <w:tcPr>
            <w:tcW w:w="960" w:type="dxa"/>
            <w:tcBorders>
              <w:top w:val="nil"/>
              <w:left w:val="nil"/>
              <w:bottom w:val="nil"/>
              <w:right w:val="nil"/>
            </w:tcBorders>
            <w:shd w:val="clear" w:color="auto" w:fill="auto"/>
            <w:noWrap/>
            <w:vAlign w:val="bottom"/>
            <w:hideMark/>
          </w:tcPr>
          <w:p w14:paraId="6F8BDFD3" w14:textId="77777777" w:rsidR="00BB5105" w:rsidRPr="00D51EF4" w:rsidRDefault="00BB5105" w:rsidP="00BB5105">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0.066</w:t>
            </w:r>
          </w:p>
        </w:tc>
        <w:tc>
          <w:tcPr>
            <w:tcW w:w="960" w:type="dxa"/>
            <w:tcBorders>
              <w:top w:val="nil"/>
              <w:left w:val="nil"/>
              <w:bottom w:val="nil"/>
              <w:right w:val="nil"/>
            </w:tcBorders>
            <w:shd w:val="clear" w:color="auto" w:fill="auto"/>
            <w:noWrap/>
            <w:vAlign w:val="bottom"/>
            <w:hideMark/>
          </w:tcPr>
          <w:p w14:paraId="641693B1" w14:textId="77777777" w:rsidR="00BB5105" w:rsidRPr="00D51EF4" w:rsidRDefault="00BB5105" w:rsidP="00BB5105">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1009</w:t>
            </w:r>
          </w:p>
        </w:tc>
      </w:tr>
      <w:tr w:rsidR="00BB5105" w:rsidRPr="00D51EF4" w14:paraId="50623A5A" w14:textId="77777777" w:rsidTr="00BB5105">
        <w:trPr>
          <w:trHeight w:val="300"/>
        </w:trPr>
        <w:tc>
          <w:tcPr>
            <w:tcW w:w="2640" w:type="dxa"/>
            <w:tcBorders>
              <w:top w:val="nil"/>
              <w:left w:val="nil"/>
              <w:bottom w:val="nil"/>
              <w:right w:val="nil"/>
            </w:tcBorders>
            <w:shd w:val="clear" w:color="auto" w:fill="auto"/>
            <w:noWrap/>
            <w:vAlign w:val="bottom"/>
            <w:hideMark/>
          </w:tcPr>
          <w:p w14:paraId="4086E33B" w14:textId="77777777" w:rsidR="00BB5105" w:rsidRPr="00D51EF4" w:rsidRDefault="00BB5105" w:rsidP="00BB5105">
            <w:pPr>
              <w:rPr>
                <w:rFonts w:ascii="Arial" w:hAnsi="Arial" w:cs="Arial"/>
                <w:b/>
                <w:bCs/>
                <w:sz w:val="20"/>
                <w:szCs w:val="20"/>
                <w:lang w:val="en-GB" w:eastAsia="en-US"/>
              </w:rPr>
            </w:pPr>
          </w:p>
        </w:tc>
        <w:tc>
          <w:tcPr>
            <w:tcW w:w="960" w:type="dxa"/>
            <w:tcBorders>
              <w:top w:val="nil"/>
              <w:left w:val="nil"/>
              <w:bottom w:val="nil"/>
              <w:right w:val="nil"/>
            </w:tcBorders>
            <w:shd w:val="clear" w:color="auto" w:fill="auto"/>
            <w:noWrap/>
            <w:vAlign w:val="bottom"/>
            <w:hideMark/>
          </w:tcPr>
          <w:p w14:paraId="11C81A57" w14:textId="77777777" w:rsidR="00BB5105" w:rsidRPr="00D51EF4" w:rsidRDefault="00BB5105" w:rsidP="00BB5105">
            <w:pPr>
              <w:jc w:val="center"/>
              <w:rPr>
                <w:rFonts w:ascii="Calibri" w:hAnsi="Calibri" w:cs="Calibri"/>
                <w:color w:val="000000"/>
                <w:lang w:val="en-GB" w:eastAsia="en-US"/>
              </w:rPr>
            </w:pPr>
          </w:p>
        </w:tc>
        <w:tc>
          <w:tcPr>
            <w:tcW w:w="960" w:type="dxa"/>
            <w:tcBorders>
              <w:top w:val="nil"/>
              <w:left w:val="nil"/>
              <w:bottom w:val="nil"/>
              <w:right w:val="nil"/>
            </w:tcBorders>
            <w:shd w:val="clear" w:color="000000" w:fill="C0C0C0"/>
            <w:noWrap/>
            <w:vAlign w:val="bottom"/>
            <w:hideMark/>
          </w:tcPr>
          <w:p w14:paraId="44A72F28" w14:textId="77777777" w:rsidR="00BB5105" w:rsidRPr="00D51EF4" w:rsidRDefault="00BB5105" w:rsidP="00BB5105">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 </w:t>
            </w:r>
          </w:p>
        </w:tc>
        <w:tc>
          <w:tcPr>
            <w:tcW w:w="960" w:type="dxa"/>
            <w:tcBorders>
              <w:top w:val="nil"/>
              <w:left w:val="nil"/>
              <w:bottom w:val="nil"/>
              <w:right w:val="nil"/>
            </w:tcBorders>
            <w:shd w:val="clear" w:color="auto" w:fill="auto"/>
            <w:noWrap/>
            <w:vAlign w:val="bottom"/>
            <w:hideMark/>
          </w:tcPr>
          <w:p w14:paraId="5CC8EA2C" w14:textId="77777777" w:rsidR="00BB5105" w:rsidRPr="00D51EF4" w:rsidRDefault="00BB5105" w:rsidP="00BB5105">
            <w:pPr>
              <w:jc w:val="center"/>
              <w:rPr>
                <w:rFonts w:ascii="Calibri" w:hAnsi="Calibri" w:cs="Calibri"/>
                <w:color w:val="000000"/>
                <w:lang w:val="en-GB" w:eastAsia="en-US"/>
              </w:rPr>
            </w:pPr>
          </w:p>
        </w:tc>
        <w:tc>
          <w:tcPr>
            <w:tcW w:w="960" w:type="dxa"/>
            <w:tcBorders>
              <w:top w:val="nil"/>
              <w:left w:val="nil"/>
              <w:bottom w:val="nil"/>
              <w:right w:val="nil"/>
            </w:tcBorders>
            <w:shd w:val="clear" w:color="auto" w:fill="auto"/>
            <w:noWrap/>
            <w:vAlign w:val="bottom"/>
            <w:hideMark/>
          </w:tcPr>
          <w:p w14:paraId="22CC6F41" w14:textId="77777777" w:rsidR="00BB5105" w:rsidRPr="00D51EF4" w:rsidRDefault="00BB5105" w:rsidP="00BB5105">
            <w:pPr>
              <w:jc w:val="center"/>
              <w:rPr>
                <w:rFonts w:ascii="Calibri" w:hAnsi="Calibri" w:cs="Calibri"/>
                <w:color w:val="000000"/>
                <w:lang w:val="en-GB" w:eastAsia="en-US"/>
              </w:rPr>
            </w:pPr>
          </w:p>
        </w:tc>
        <w:tc>
          <w:tcPr>
            <w:tcW w:w="960" w:type="dxa"/>
            <w:tcBorders>
              <w:top w:val="nil"/>
              <w:left w:val="nil"/>
              <w:bottom w:val="nil"/>
              <w:right w:val="nil"/>
            </w:tcBorders>
            <w:shd w:val="clear" w:color="auto" w:fill="auto"/>
            <w:noWrap/>
            <w:vAlign w:val="bottom"/>
            <w:hideMark/>
          </w:tcPr>
          <w:p w14:paraId="17D4DF37" w14:textId="77777777" w:rsidR="00BB5105" w:rsidRPr="00D51EF4" w:rsidRDefault="00BB5105" w:rsidP="00BB5105">
            <w:pPr>
              <w:jc w:val="center"/>
              <w:rPr>
                <w:rFonts w:ascii="Calibri" w:hAnsi="Calibri" w:cs="Calibri"/>
                <w:color w:val="000000"/>
                <w:lang w:val="en-GB" w:eastAsia="en-US"/>
              </w:rPr>
            </w:pPr>
          </w:p>
        </w:tc>
        <w:tc>
          <w:tcPr>
            <w:tcW w:w="960" w:type="dxa"/>
            <w:tcBorders>
              <w:top w:val="nil"/>
              <w:left w:val="nil"/>
              <w:bottom w:val="nil"/>
              <w:right w:val="nil"/>
            </w:tcBorders>
            <w:shd w:val="clear" w:color="auto" w:fill="auto"/>
            <w:noWrap/>
            <w:vAlign w:val="bottom"/>
            <w:hideMark/>
          </w:tcPr>
          <w:p w14:paraId="5C840936" w14:textId="77777777" w:rsidR="00BB5105" w:rsidRPr="00D51EF4" w:rsidRDefault="00BB5105" w:rsidP="00BB5105">
            <w:pPr>
              <w:jc w:val="center"/>
              <w:rPr>
                <w:rFonts w:ascii="Calibri" w:hAnsi="Calibri" w:cs="Calibri"/>
                <w:color w:val="000000"/>
                <w:lang w:val="en-GB" w:eastAsia="en-US"/>
              </w:rPr>
            </w:pPr>
          </w:p>
        </w:tc>
      </w:tr>
      <w:tr w:rsidR="00BB5105" w:rsidRPr="00D51EF4" w14:paraId="664D697E" w14:textId="77777777" w:rsidTr="00BB5105">
        <w:trPr>
          <w:trHeight w:val="300"/>
        </w:trPr>
        <w:tc>
          <w:tcPr>
            <w:tcW w:w="2640" w:type="dxa"/>
            <w:tcBorders>
              <w:top w:val="nil"/>
              <w:left w:val="nil"/>
              <w:bottom w:val="nil"/>
              <w:right w:val="nil"/>
            </w:tcBorders>
            <w:shd w:val="clear" w:color="auto" w:fill="auto"/>
            <w:noWrap/>
            <w:vAlign w:val="bottom"/>
            <w:hideMark/>
          </w:tcPr>
          <w:p w14:paraId="63657173" w14:textId="482120E6" w:rsidR="00BB5105" w:rsidRPr="00D51EF4" w:rsidRDefault="00EC504E" w:rsidP="00C4276E">
            <w:pPr>
              <w:rPr>
                <w:rFonts w:ascii="Arial" w:hAnsi="Arial" w:cs="Arial"/>
                <w:b/>
                <w:bCs/>
                <w:iCs/>
                <w:sz w:val="20"/>
                <w:szCs w:val="20"/>
                <w:lang w:val="en-GB" w:eastAsia="en-US"/>
              </w:rPr>
            </w:pPr>
            <w:r w:rsidRPr="00D51EF4">
              <w:rPr>
                <w:rFonts w:ascii="Arial" w:hAnsi="Arial" w:cs="Arial"/>
                <w:b/>
                <w:bCs/>
                <w:i/>
                <w:iCs/>
                <w:sz w:val="20"/>
                <w:szCs w:val="20"/>
                <w:lang w:val="en-GB" w:eastAsia="en-US"/>
              </w:rPr>
              <w:t>P</w:t>
            </w:r>
            <w:r w:rsidR="00EE3BF9" w:rsidRPr="00D51EF4">
              <w:rPr>
                <w:rFonts w:ascii="Arial" w:hAnsi="Arial" w:cs="Arial"/>
                <w:b/>
                <w:bCs/>
                <w:i/>
                <w:iCs/>
                <w:sz w:val="20"/>
                <w:szCs w:val="20"/>
                <w:lang w:val="en-GB" w:eastAsia="en-US"/>
              </w:rPr>
              <w:t xml:space="preserve">–value </w:t>
            </w:r>
            <w:r w:rsidR="00C4276E" w:rsidRPr="00D51EF4">
              <w:rPr>
                <w:rFonts w:ascii="Arial" w:hAnsi="Arial" w:cs="Arial"/>
                <w:b/>
                <w:bCs/>
                <w:i/>
                <w:iCs/>
                <w:sz w:val="20"/>
                <w:szCs w:val="20"/>
                <w:lang w:val="en-GB" w:eastAsia="en-US"/>
              </w:rPr>
              <w:t>of</w:t>
            </w:r>
            <w:r w:rsidR="00EE3BF9" w:rsidRPr="00D51EF4">
              <w:rPr>
                <w:rFonts w:ascii="Arial" w:hAnsi="Arial" w:cs="Arial"/>
                <w:b/>
                <w:bCs/>
                <w:i/>
                <w:iCs/>
                <w:sz w:val="20"/>
                <w:szCs w:val="20"/>
                <w:lang w:val="en-GB" w:eastAsia="en-US"/>
              </w:rPr>
              <w:t xml:space="preserve"> </w:t>
            </w:r>
            <w:r w:rsidR="00FA0D65" w:rsidRPr="00D51EF4">
              <w:rPr>
                <w:rFonts w:ascii="Arial" w:hAnsi="Arial" w:cs="Arial"/>
                <w:b/>
                <w:bCs/>
                <w:i/>
                <w:iCs/>
                <w:sz w:val="20"/>
                <w:szCs w:val="20"/>
                <w:lang w:val="en-GB" w:eastAsia="en-US"/>
              </w:rPr>
              <w:t xml:space="preserve">the </w:t>
            </w:r>
            <w:r w:rsidR="00EE3BF9" w:rsidRPr="00D51EF4">
              <w:rPr>
                <w:rFonts w:ascii="Arial" w:hAnsi="Arial" w:cs="Arial"/>
                <w:b/>
                <w:bCs/>
                <w:i/>
                <w:iCs/>
                <w:sz w:val="20"/>
                <w:szCs w:val="20"/>
                <w:lang w:val="en-GB" w:eastAsia="en-US"/>
              </w:rPr>
              <w:t>difference</w:t>
            </w:r>
          </w:p>
        </w:tc>
        <w:tc>
          <w:tcPr>
            <w:tcW w:w="960" w:type="dxa"/>
            <w:tcBorders>
              <w:top w:val="nil"/>
              <w:left w:val="nil"/>
              <w:bottom w:val="nil"/>
              <w:right w:val="nil"/>
            </w:tcBorders>
            <w:shd w:val="clear" w:color="auto" w:fill="auto"/>
            <w:noWrap/>
            <w:vAlign w:val="bottom"/>
            <w:hideMark/>
          </w:tcPr>
          <w:p w14:paraId="45BE320D" w14:textId="77777777" w:rsidR="00BB5105" w:rsidRPr="00D51EF4" w:rsidRDefault="00BB5105" w:rsidP="00BB5105">
            <w:pPr>
              <w:jc w:val="center"/>
              <w:rPr>
                <w:rFonts w:ascii="Calibri" w:hAnsi="Calibri" w:cs="Calibri"/>
                <w:color w:val="000000"/>
                <w:lang w:val="en-GB" w:eastAsia="en-US"/>
              </w:rPr>
            </w:pPr>
          </w:p>
        </w:tc>
        <w:tc>
          <w:tcPr>
            <w:tcW w:w="960" w:type="dxa"/>
            <w:tcBorders>
              <w:top w:val="nil"/>
              <w:left w:val="nil"/>
              <w:bottom w:val="nil"/>
              <w:right w:val="nil"/>
            </w:tcBorders>
            <w:shd w:val="clear" w:color="000000" w:fill="C0C0C0"/>
            <w:noWrap/>
            <w:vAlign w:val="bottom"/>
            <w:hideMark/>
          </w:tcPr>
          <w:p w14:paraId="2C92FE6E" w14:textId="77777777" w:rsidR="00BB5105" w:rsidRPr="00D51EF4" w:rsidRDefault="00BB5105" w:rsidP="00BB5105">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 </w:t>
            </w:r>
            <w:r w:rsidR="00EC504E" w:rsidRPr="00D51EF4">
              <w:rPr>
                <w:rFonts w:ascii="Calibri" w:hAnsi="Calibri" w:cs="Calibri"/>
                <w:color w:val="000000"/>
                <w:sz w:val="22"/>
                <w:szCs w:val="22"/>
                <w:lang w:val="en-GB" w:eastAsia="en-US"/>
              </w:rPr>
              <w:t>0.36</w:t>
            </w:r>
          </w:p>
        </w:tc>
        <w:tc>
          <w:tcPr>
            <w:tcW w:w="960" w:type="dxa"/>
            <w:tcBorders>
              <w:top w:val="nil"/>
              <w:left w:val="nil"/>
              <w:bottom w:val="nil"/>
              <w:right w:val="nil"/>
            </w:tcBorders>
            <w:shd w:val="clear" w:color="auto" w:fill="auto"/>
            <w:noWrap/>
            <w:vAlign w:val="bottom"/>
            <w:hideMark/>
          </w:tcPr>
          <w:p w14:paraId="1E379668" w14:textId="77777777" w:rsidR="00BB5105" w:rsidRPr="00D51EF4" w:rsidRDefault="00BB5105" w:rsidP="00BB5105">
            <w:pPr>
              <w:jc w:val="center"/>
              <w:rPr>
                <w:rFonts w:ascii="Calibri" w:hAnsi="Calibri" w:cs="Calibri"/>
                <w:color w:val="000000"/>
                <w:lang w:val="en-GB" w:eastAsia="en-US"/>
              </w:rPr>
            </w:pPr>
          </w:p>
        </w:tc>
        <w:tc>
          <w:tcPr>
            <w:tcW w:w="960" w:type="dxa"/>
            <w:tcBorders>
              <w:top w:val="nil"/>
              <w:left w:val="nil"/>
              <w:bottom w:val="nil"/>
              <w:right w:val="nil"/>
            </w:tcBorders>
            <w:shd w:val="clear" w:color="auto" w:fill="auto"/>
            <w:noWrap/>
            <w:vAlign w:val="bottom"/>
            <w:hideMark/>
          </w:tcPr>
          <w:p w14:paraId="5591E274" w14:textId="77777777" w:rsidR="00BB5105" w:rsidRPr="00D51EF4" w:rsidRDefault="00BB5105" w:rsidP="00BB5105">
            <w:pPr>
              <w:jc w:val="center"/>
              <w:rPr>
                <w:rFonts w:ascii="Calibri" w:hAnsi="Calibri" w:cs="Calibri"/>
                <w:color w:val="000000"/>
                <w:lang w:val="en-GB" w:eastAsia="en-US"/>
              </w:rPr>
            </w:pPr>
          </w:p>
        </w:tc>
        <w:tc>
          <w:tcPr>
            <w:tcW w:w="960" w:type="dxa"/>
            <w:tcBorders>
              <w:top w:val="nil"/>
              <w:left w:val="nil"/>
              <w:bottom w:val="nil"/>
              <w:right w:val="nil"/>
            </w:tcBorders>
            <w:shd w:val="clear" w:color="auto" w:fill="auto"/>
            <w:noWrap/>
            <w:vAlign w:val="bottom"/>
            <w:hideMark/>
          </w:tcPr>
          <w:p w14:paraId="58A971B4" w14:textId="77777777" w:rsidR="00BB5105" w:rsidRPr="00D51EF4" w:rsidRDefault="00BB5105" w:rsidP="00BB5105">
            <w:pPr>
              <w:jc w:val="center"/>
              <w:rPr>
                <w:rFonts w:ascii="Calibri" w:hAnsi="Calibri" w:cs="Calibri"/>
                <w:color w:val="000000"/>
                <w:lang w:val="en-GB" w:eastAsia="en-US"/>
              </w:rPr>
            </w:pPr>
          </w:p>
        </w:tc>
        <w:tc>
          <w:tcPr>
            <w:tcW w:w="960" w:type="dxa"/>
            <w:tcBorders>
              <w:top w:val="nil"/>
              <w:left w:val="nil"/>
              <w:bottom w:val="nil"/>
              <w:right w:val="nil"/>
            </w:tcBorders>
            <w:shd w:val="clear" w:color="auto" w:fill="auto"/>
            <w:noWrap/>
            <w:vAlign w:val="bottom"/>
            <w:hideMark/>
          </w:tcPr>
          <w:p w14:paraId="777BE000" w14:textId="77777777" w:rsidR="00BB5105" w:rsidRPr="00D51EF4" w:rsidRDefault="00BB5105" w:rsidP="00BB5105">
            <w:pPr>
              <w:jc w:val="center"/>
              <w:rPr>
                <w:rFonts w:ascii="Calibri" w:hAnsi="Calibri" w:cs="Calibri"/>
                <w:color w:val="000000"/>
                <w:lang w:val="en-GB" w:eastAsia="en-US"/>
              </w:rPr>
            </w:pPr>
          </w:p>
        </w:tc>
      </w:tr>
    </w:tbl>
    <w:p w14:paraId="42D4EC9A" w14:textId="77777777" w:rsidR="00BB5105" w:rsidRPr="00D51EF4" w:rsidRDefault="00BB5105" w:rsidP="00BB5105">
      <w:pPr>
        <w:autoSpaceDE w:val="0"/>
        <w:autoSpaceDN w:val="0"/>
        <w:adjustRightInd w:val="0"/>
        <w:spacing w:line="480" w:lineRule="auto"/>
        <w:rPr>
          <w:lang w:val="en-GB"/>
        </w:rPr>
      </w:pPr>
    </w:p>
    <w:p w14:paraId="7D85A403" w14:textId="3810ECDF" w:rsidR="00BB5105" w:rsidRPr="00D51EF4" w:rsidRDefault="00BB5105" w:rsidP="00BB5105">
      <w:pPr>
        <w:autoSpaceDE w:val="0"/>
        <w:autoSpaceDN w:val="0"/>
        <w:adjustRightInd w:val="0"/>
        <w:jc w:val="both"/>
        <w:rPr>
          <w:sz w:val="20"/>
          <w:szCs w:val="20"/>
          <w:lang w:val="en-GB"/>
        </w:rPr>
      </w:pPr>
      <w:r w:rsidRPr="00D51EF4">
        <w:rPr>
          <w:sz w:val="20"/>
          <w:szCs w:val="20"/>
          <w:lang w:val="en-GB"/>
        </w:rPr>
        <w:t xml:space="preserve">Table </w:t>
      </w:r>
      <w:r w:rsidR="00A1711B" w:rsidRPr="00D51EF4">
        <w:rPr>
          <w:sz w:val="20"/>
          <w:szCs w:val="20"/>
          <w:lang w:val="en-GB"/>
        </w:rPr>
        <w:t>3</w:t>
      </w:r>
      <w:r w:rsidRPr="00D51EF4">
        <w:rPr>
          <w:sz w:val="20"/>
          <w:szCs w:val="20"/>
          <w:lang w:val="en-GB"/>
        </w:rPr>
        <w:t xml:space="preserve"> </w:t>
      </w:r>
      <w:r w:rsidR="00F778FC" w:rsidRPr="00D51EF4">
        <w:rPr>
          <w:sz w:val="20"/>
          <w:szCs w:val="20"/>
          <w:lang w:val="en-GB"/>
        </w:rPr>
        <w:t xml:space="preserve">presents </w:t>
      </w:r>
      <w:r w:rsidRPr="00D51EF4">
        <w:rPr>
          <w:sz w:val="20"/>
          <w:szCs w:val="20"/>
          <w:lang w:val="en-GB"/>
        </w:rPr>
        <w:t>the mean, standard deviation, first quartile (Q1), median, third quartile (Q3) and number of observations (n) of earnings scaled by end</w:t>
      </w:r>
      <w:r w:rsidR="00374AC5" w:rsidRPr="00D51EF4">
        <w:rPr>
          <w:sz w:val="20"/>
          <w:szCs w:val="20"/>
          <w:lang w:val="en-GB"/>
        </w:rPr>
        <w:t>-</w:t>
      </w:r>
      <w:r w:rsidRPr="00D51EF4">
        <w:rPr>
          <w:sz w:val="20"/>
          <w:szCs w:val="20"/>
          <w:lang w:val="en-GB"/>
        </w:rPr>
        <w:t>of</w:t>
      </w:r>
      <w:r w:rsidR="00374AC5" w:rsidRPr="00D51EF4">
        <w:rPr>
          <w:sz w:val="20"/>
          <w:szCs w:val="20"/>
          <w:lang w:val="en-GB"/>
        </w:rPr>
        <w:t>-</w:t>
      </w:r>
      <w:r w:rsidRPr="00D51EF4">
        <w:rPr>
          <w:sz w:val="20"/>
          <w:szCs w:val="20"/>
          <w:lang w:val="en-GB"/>
        </w:rPr>
        <w:t>period assets</w:t>
      </w:r>
      <w:r w:rsidR="00374AC5" w:rsidRPr="00D51EF4">
        <w:rPr>
          <w:sz w:val="20"/>
          <w:szCs w:val="20"/>
          <w:lang w:val="en-GB"/>
        </w:rPr>
        <w:t xml:space="preserve"> </w:t>
      </w:r>
      <w:r w:rsidRPr="00D51EF4">
        <w:rPr>
          <w:sz w:val="20"/>
          <w:szCs w:val="20"/>
          <w:lang w:val="en-GB"/>
        </w:rPr>
        <w:t xml:space="preserve">for </w:t>
      </w:r>
      <w:r w:rsidR="00F778FC" w:rsidRPr="00D51EF4">
        <w:rPr>
          <w:sz w:val="20"/>
          <w:szCs w:val="20"/>
          <w:lang w:val="en-GB"/>
        </w:rPr>
        <w:t xml:space="preserve">the </w:t>
      </w:r>
      <w:r w:rsidRPr="00D51EF4">
        <w:rPr>
          <w:sz w:val="20"/>
          <w:szCs w:val="20"/>
          <w:lang w:val="en-GB"/>
        </w:rPr>
        <w:t>su</w:t>
      </w:r>
      <w:r w:rsidR="007E28B9">
        <w:rPr>
          <w:sz w:val="20"/>
          <w:szCs w:val="20"/>
          <w:lang w:val="en-GB"/>
        </w:rPr>
        <w:t xml:space="preserve">b-samples of for-profit and </w:t>
      </w:r>
      <w:proofErr w:type="spellStart"/>
      <w:r w:rsidR="007E28B9">
        <w:rPr>
          <w:sz w:val="20"/>
          <w:szCs w:val="20"/>
          <w:lang w:val="en-GB"/>
        </w:rPr>
        <w:t>non</w:t>
      </w:r>
      <w:r w:rsidRPr="00D51EF4">
        <w:rPr>
          <w:sz w:val="20"/>
          <w:szCs w:val="20"/>
          <w:lang w:val="en-GB"/>
        </w:rPr>
        <w:t>profit</w:t>
      </w:r>
      <w:proofErr w:type="spellEnd"/>
      <w:r w:rsidRPr="00D51EF4">
        <w:rPr>
          <w:sz w:val="20"/>
          <w:szCs w:val="20"/>
          <w:lang w:val="en-GB"/>
        </w:rPr>
        <w:t xml:space="preserve"> MFIs, respectively. The standard deviation of scaled earnings </w:t>
      </w:r>
      <w:proofErr w:type="gramStart"/>
      <w:r w:rsidR="003D7695" w:rsidRPr="00D51EF4">
        <w:rPr>
          <w:sz w:val="20"/>
          <w:szCs w:val="20"/>
          <w:lang w:val="en-GB"/>
        </w:rPr>
        <w:t xml:space="preserve">is </w:t>
      </w:r>
      <w:r w:rsidRPr="00D51EF4">
        <w:rPr>
          <w:sz w:val="20"/>
          <w:szCs w:val="20"/>
          <w:lang w:val="en-GB"/>
        </w:rPr>
        <w:t>applied</w:t>
      </w:r>
      <w:proofErr w:type="gramEnd"/>
      <w:r w:rsidRPr="00D51EF4">
        <w:rPr>
          <w:sz w:val="20"/>
          <w:szCs w:val="20"/>
          <w:lang w:val="en-GB"/>
        </w:rPr>
        <w:t xml:space="preserve"> as a proxy variable for earnings smoothness (shaded column). </w:t>
      </w:r>
      <w:r w:rsidR="002A3907" w:rsidRPr="00D51EF4">
        <w:rPr>
          <w:sz w:val="20"/>
          <w:szCs w:val="20"/>
          <w:lang w:val="en-GB"/>
        </w:rPr>
        <w:t xml:space="preserve">The p-value </w:t>
      </w:r>
      <w:proofErr w:type="gramStart"/>
      <w:r w:rsidR="002A3907" w:rsidRPr="00D51EF4">
        <w:rPr>
          <w:sz w:val="20"/>
          <w:szCs w:val="20"/>
          <w:lang w:val="en-GB"/>
        </w:rPr>
        <w:t>is estimated</w:t>
      </w:r>
      <w:proofErr w:type="gramEnd"/>
      <w:r w:rsidR="002A3907" w:rsidRPr="00D51EF4">
        <w:rPr>
          <w:sz w:val="20"/>
          <w:szCs w:val="20"/>
          <w:lang w:val="en-GB"/>
        </w:rPr>
        <w:t xml:space="preserve"> </w:t>
      </w:r>
      <w:r w:rsidR="00F778FC" w:rsidRPr="00D51EF4">
        <w:rPr>
          <w:sz w:val="20"/>
          <w:szCs w:val="20"/>
          <w:lang w:val="en-GB"/>
        </w:rPr>
        <w:t xml:space="preserve">using </w:t>
      </w:r>
      <w:r w:rsidR="002A3907" w:rsidRPr="00D51EF4">
        <w:rPr>
          <w:sz w:val="20"/>
          <w:szCs w:val="20"/>
          <w:lang w:val="en-GB"/>
        </w:rPr>
        <w:t>a standard F-test for the difference in standard deviations between two samples.</w:t>
      </w:r>
      <w:r w:rsidR="002A3907" w:rsidRPr="00D51EF4" w:rsidDel="00C4276E">
        <w:rPr>
          <w:sz w:val="20"/>
          <w:szCs w:val="20"/>
          <w:lang w:val="en-GB"/>
        </w:rPr>
        <w:t xml:space="preserve"> </w:t>
      </w:r>
    </w:p>
    <w:p w14:paraId="0AF1FFA7" w14:textId="77777777" w:rsidR="00271F34" w:rsidRPr="00D51EF4" w:rsidRDefault="00271F34">
      <w:pPr>
        <w:spacing w:after="200" w:line="276" w:lineRule="auto"/>
        <w:rPr>
          <w:sz w:val="20"/>
          <w:szCs w:val="20"/>
          <w:lang w:val="en-GB"/>
        </w:rPr>
      </w:pPr>
      <w:r w:rsidRPr="00D51EF4">
        <w:rPr>
          <w:sz w:val="20"/>
          <w:szCs w:val="20"/>
          <w:lang w:val="en-GB"/>
        </w:rPr>
        <w:br w:type="page"/>
      </w:r>
    </w:p>
    <w:p w14:paraId="00E96730" w14:textId="77777777" w:rsidR="00271F34" w:rsidRPr="00D51EF4" w:rsidRDefault="00271F34" w:rsidP="00BB5105">
      <w:pPr>
        <w:autoSpaceDE w:val="0"/>
        <w:autoSpaceDN w:val="0"/>
        <w:adjustRightInd w:val="0"/>
        <w:jc w:val="both"/>
        <w:rPr>
          <w:sz w:val="20"/>
          <w:szCs w:val="20"/>
          <w:lang w:val="en-GB"/>
        </w:rPr>
      </w:pPr>
    </w:p>
    <w:p w14:paraId="152854C9" w14:textId="77777777" w:rsidR="00271F34" w:rsidRPr="00D51EF4" w:rsidRDefault="00271F34" w:rsidP="00271F34">
      <w:pPr>
        <w:autoSpaceDE w:val="0"/>
        <w:autoSpaceDN w:val="0"/>
        <w:adjustRightInd w:val="0"/>
        <w:spacing w:line="480" w:lineRule="auto"/>
        <w:rPr>
          <w:b/>
          <w:i/>
          <w:lang w:val="en-GB"/>
        </w:rPr>
      </w:pPr>
      <w:r w:rsidRPr="00D51EF4">
        <w:rPr>
          <w:b/>
          <w:i/>
          <w:lang w:val="en-GB"/>
        </w:rPr>
        <w:t xml:space="preserve">Table </w:t>
      </w:r>
      <w:r w:rsidR="00A1711B" w:rsidRPr="00D51EF4">
        <w:rPr>
          <w:b/>
          <w:i/>
          <w:lang w:val="en-GB"/>
        </w:rPr>
        <w:t>4</w:t>
      </w:r>
      <w:r w:rsidRPr="00D51EF4">
        <w:rPr>
          <w:b/>
          <w:i/>
          <w:lang w:val="en-GB"/>
        </w:rPr>
        <w:t>: Earnings Quality as Measured by Earnings Persistence and Predictability</w:t>
      </w:r>
    </w:p>
    <w:tbl>
      <w:tblPr>
        <w:tblW w:w="6580" w:type="dxa"/>
        <w:tblInd w:w="93" w:type="dxa"/>
        <w:tblLook w:val="04A0" w:firstRow="1" w:lastRow="0" w:firstColumn="1" w:lastColumn="0" w:noHBand="0" w:noVBand="1"/>
      </w:tblPr>
      <w:tblGrid>
        <w:gridCol w:w="2940"/>
        <w:gridCol w:w="1720"/>
        <w:gridCol w:w="960"/>
        <w:gridCol w:w="960"/>
      </w:tblGrid>
      <w:tr w:rsidR="00271F34" w:rsidRPr="00D51EF4" w14:paraId="2E7FA7D0" w14:textId="77777777" w:rsidTr="00271F34">
        <w:trPr>
          <w:trHeight w:val="300"/>
        </w:trPr>
        <w:tc>
          <w:tcPr>
            <w:tcW w:w="2940" w:type="dxa"/>
            <w:tcBorders>
              <w:top w:val="nil"/>
              <w:left w:val="nil"/>
              <w:bottom w:val="nil"/>
              <w:right w:val="nil"/>
            </w:tcBorders>
            <w:shd w:val="clear" w:color="auto" w:fill="auto"/>
            <w:noWrap/>
            <w:vAlign w:val="bottom"/>
            <w:hideMark/>
          </w:tcPr>
          <w:p w14:paraId="47496D46" w14:textId="77777777" w:rsidR="00271F34" w:rsidRPr="00D51EF4" w:rsidRDefault="00271F34" w:rsidP="00271F34">
            <w:pPr>
              <w:rPr>
                <w:rFonts w:ascii="Calibri" w:hAnsi="Calibri" w:cs="Calibri"/>
                <w:color w:val="000000"/>
                <w:lang w:val="en-GB" w:eastAsia="en-US"/>
              </w:rPr>
            </w:pPr>
          </w:p>
        </w:tc>
        <w:tc>
          <w:tcPr>
            <w:tcW w:w="1720" w:type="dxa"/>
            <w:tcBorders>
              <w:top w:val="nil"/>
              <w:left w:val="nil"/>
              <w:bottom w:val="nil"/>
              <w:right w:val="nil"/>
            </w:tcBorders>
            <w:shd w:val="clear" w:color="000000" w:fill="C0C0C0"/>
            <w:noWrap/>
            <w:vAlign w:val="bottom"/>
            <w:hideMark/>
          </w:tcPr>
          <w:p w14:paraId="66F1FBFE" w14:textId="77777777" w:rsidR="00271F34" w:rsidRPr="00D51EF4" w:rsidRDefault="00271F34" w:rsidP="00271F34">
            <w:pPr>
              <w:jc w:val="center"/>
              <w:rPr>
                <w:rFonts w:ascii="Arial" w:hAnsi="Arial" w:cs="Arial"/>
                <w:b/>
                <w:bCs/>
                <w:sz w:val="20"/>
                <w:szCs w:val="20"/>
                <w:lang w:val="en-GB" w:eastAsia="en-US"/>
              </w:rPr>
            </w:pPr>
            <w:r w:rsidRPr="00D51EF4">
              <w:rPr>
                <w:rFonts w:ascii="Arial" w:hAnsi="Arial" w:cs="Arial"/>
                <w:b/>
                <w:bCs/>
                <w:sz w:val="20"/>
                <w:szCs w:val="20"/>
                <w:lang w:val="en-GB" w:eastAsia="en-US"/>
              </w:rPr>
              <w:t>Slope coefficient</w:t>
            </w:r>
          </w:p>
        </w:tc>
        <w:tc>
          <w:tcPr>
            <w:tcW w:w="960" w:type="dxa"/>
            <w:tcBorders>
              <w:top w:val="nil"/>
              <w:left w:val="nil"/>
              <w:bottom w:val="nil"/>
              <w:right w:val="nil"/>
            </w:tcBorders>
            <w:shd w:val="clear" w:color="000000" w:fill="C0C0C0"/>
            <w:noWrap/>
            <w:vAlign w:val="bottom"/>
            <w:hideMark/>
          </w:tcPr>
          <w:p w14:paraId="6C5D3475" w14:textId="77777777" w:rsidR="00271F34" w:rsidRPr="00D51EF4" w:rsidRDefault="00271F34" w:rsidP="00271F34">
            <w:pPr>
              <w:jc w:val="center"/>
              <w:rPr>
                <w:rFonts w:ascii="Arial" w:hAnsi="Arial" w:cs="Arial"/>
                <w:b/>
                <w:bCs/>
                <w:sz w:val="20"/>
                <w:szCs w:val="20"/>
                <w:lang w:val="en-GB" w:eastAsia="en-US"/>
              </w:rPr>
            </w:pPr>
            <w:r w:rsidRPr="00D51EF4">
              <w:rPr>
                <w:rFonts w:ascii="Arial" w:hAnsi="Arial" w:cs="Arial"/>
                <w:b/>
                <w:bCs/>
                <w:sz w:val="20"/>
                <w:szCs w:val="20"/>
                <w:lang w:val="en-GB" w:eastAsia="en-US"/>
              </w:rPr>
              <w:t>Adj. R</w:t>
            </w:r>
            <w:r w:rsidRPr="00D51EF4">
              <w:rPr>
                <w:rFonts w:ascii="Arial" w:hAnsi="Arial" w:cs="Arial"/>
                <w:b/>
                <w:bCs/>
                <w:sz w:val="20"/>
                <w:szCs w:val="20"/>
                <w:vertAlign w:val="superscript"/>
                <w:lang w:val="en-GB" w:eastAsia="en-US"/>
              </w:rPr>
              <w:t>2</w:t>
            </w:r>
          </w:p>
        </w:tc>
        <w:tc>
          <w:tcPr>
            <w:tcW w:w="960" w:type="dxa"/>
            <w:tcBorders>
              <w:top w:val="nil"/>
              <w:left w:val="nil"/>
              <w:bottom w:val="nil"/>
              <w:right w:val="nil"/>
            </w:tcBorders>
            <w:shd w:val="clear" w:color="auto" w:fill="auto"/>
            <w:noWrap/>
            <w:vAlign w:val="bottom"/>
            <w:hideMark/>
          </w:tcPr>
          <w:p w14:paraId="4EB27001" w14:textId="77777777" w:rsidR="00271F34" w:rsidRPr="00D51EF4" w:rsidRDefault="00271F34" w:rsidP="00271F34">
            <w:pPr>
              <w:jc w:val="center"/>
              <w:rPr>
                <w:rFonts w:ascii="Arial" w:hAnsi="Arial" w:cs="Arial"/>
                <w:b/>
                <w:bCs/>
                <w:sz w:val="20"/>
                <w:szCs w:val="20"/>
                <w:lang w:val="en-GB" w:eastAsia="en-US"/>
              </w:rPr>
            </w:pPr>
            <w:r w:rsidRPr="00D51EF4">
              <w:rPr>
                <w:rFonts w:ascii="Arial" w:hAnsi="Arial" w:cs="Arial"/>
                <w:b/>
                <w:bCs/>
                <w:sz w:val="20"/>
                <w:szCs w:val="20"/>
                <w:lang w:val="en-GB" w:eastAsia="en-US"/>
              </w:rPr>
              <w:t>n</w:t>
            </w:r>
          </w:p>
        </w:tc>
      </w:tr>
      <w:tr w:rsidR="00271F34" w:rsidRPr="00D51EF4" w14:paraId="67D96983" w14:textId="77777777" w:rsidTr="00271F34">
        <w:trPr>
          <w:trHeight w:val="300"/>
        </w:trPr>
        <w:tc>
          <w:tcPr>
            <w:tcW w:w="2940" w:type="dxa"/>
            <w:tcBorders>
              <w:top w:val="nil"/>
              <w:left w:val="nil"/>
              <w:bottom w:val="nil"/>
              <w:right w:val="nil"/>
            </w:tcBorders>
            <w:shd w:val="clear" w:color="auto" w:fill="auto"/>
            <w:noWrap/>
            <w:vAlign w:val="bottom"/>
            <w:hideMark/>
          </w:tcPr>
          <w:p w14:paraId="72559B0B" w14:textId="77777777" w:rsidR="00271F34" w:rsidRPr="00D51EF4" w:rsidRDefault="00271F34" w:rsidP="00271F34">
            <w:pPr>
              <w:rPr>
                <w:rFonts w:ascii="Arial" w:hAnsi="Arial" w:cs="Arial"/>
                <w:b/>
                <w:bCs/>
                <w:sz w:val="20"/>
                <w:szCs w:val="20"/>
                <w:lang w:val="en-GB" w:eastAsia="en-US"/>
              </w:rPr>
            </w:pPr>
          </w:p>
        </w:tc>
        <w:tc>
          <w:tcPr>
            <w:tcW w:w="1720" w:type="dxa"/>
            <w:tcBorders>
              <w:top w:val="nil"/>
              <w:left w:val="nil"/>
              <w:bottom w:val="nil"/>
              <w:right w:val="nil"/>
            </w:tcBorders>
            <w:shd w:val="clear" w:color="000000" w:fill="C0C0C0"/>
            <w:noWrap/>
            <w:vAlign w:val="bottom"/>
            <w:hideMark/>
          </w:tcPr>
          <w:p w14:paraId="5929F5F2" w14:textId="77777777" w:rsidR="00271F34" w:rsidRPr="00D51EF4" w:rsidRDefault="00271F34" w:rsidP="00271F34">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 </w:t>
            </w:r>
          </w:p>
        </w:tc>
        <w:tc>
          <w:tcPr>
            <w:tcW w:w="960" w:type="dxa"/>
            <w:tcBorders>
              <w:top w:val="nil"/>
              <w:left w:val="nil"/>
              <w:bottom w:val="nil"/>
              <w:right w:val="nil"/>
            </w:tcBorders>
            <w:shd w:val="clear" w:color="000000" w:fill="C0C0C0"/>
            <w:noWrap/>
            <w:vAlign w:val="bottom"/>
            <w:hideMark/>
          </w:tcPr>
          <w:p w14:paraId="39CD35FB" w14:textId="77777777" w:rsidR="00271F34" w:rsidRPr="00D51EF4" w:rsidRDefault="00271F34" w:rsidP="00271F34">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 </w:t>
            </w:r>
          </w:p>
        </w:tc>
        <w:tc>
          <w:tcPr>
            <w:tcW w:w="960" w:type="dxa"/>
            <w:tcBorders>
              <w:top w:val="nil"/>
              <w:left w:val="nil"/>
              <w:bottom w:val="nil"/>
              <w:right w:val="nil"/>
            </w:tcBorders>
            <w:shd w:val="clear" w:color="auto" w:fill="auto"/>
            <w:noWrap/>
            <w:vAlign w:val="bottom"/>
            <w:hideMark/>
          </w:tcPr>
          <w:p w14:paraId="109CBBB3" w14:textId="77777777" w:rsidR="00271F34" w:rsidRPr="00D51EF4" w:rsidRDefault="00271F34" w:rsidP="00271F34">
            <w:pPr>
              <w:jc w:val="center"/>
              <w:rPr>
                <w:rFonts w:ascii="Calibri" w:hAnsi="Calibri" w:cs="Calibri"/>
                <w:color w:val="000000"/>
                <w:lang w:val="en-GB" w:eastAsia="en-US"/>
              </w:rPr>
            </w:pPr>
          </w:p>
        </w:tc>
      </w:tr>
      <w:tr w:rsidR="00271F34" w:rsidRPr="00D51EF4" w14:paraId="12BCA867" w14:textId="77777777" w:rsidTr="00271F34">
        <w:trPr>
          <w:trHeight w:val="300"/>
        </w:trPr>
        <w:tc>
          <w:tcPr>
            <w:tcW w:w="2940" w:type="dxa"/>
            <w:tcBorders>
              <w:top w:val="nil"/>
              <w:left w:val="nil"/>
              <w:bottom w:val="nil"/>
              <w:right w:val="nil"/>
            </w:tcBorders>
            <w:shd w:val="clear" w:color="auto" w:fill="auto"/>
            <w:noWrap/>
            <w:vAlign w:val="bottom"/>
            <w:hideMark/>
          </w:tcPr>
          <w:p w14:paraId="1AB1BC3B" w14:textId="77777777" w:rsidR="00271F34" w:rsidRPr="00D51EF4" w:rsidRDefault="00271F34" w:rsidP="00271F34">
            <w:pPr>
              <w:rPr>
                <w:rFonts w:ascii="Arial" w:hAnsi="Arial" w:cs="Arial"/>
                <w:b/>
                <w:bCs/>
                <w:sz w:val="20"/>
                <w:szCs w:val="20"/>
                <w:lang w:val="en-GB" w:eastAsia="en-US"/>
              </w:rPr>
            </w:pPr>
            <w:r w:rsidRPr="00D51EF4">
              <w:rPr>
                <w:rFonts w:ascii="Arial" w:hAnsi="Arial" w:cs="Arial"/>
                <w:b/>
                <w:bCs/>
                <w:sz w:val="20"/>
                <w:szCs w:val="20"/>
                <w:lang w:val="en-GB" w:eastAsia="en-US"/>
              </w:rPr>
              <w:t>For-profit MFIs</w:t>
            </w:r>
          </w:p>
        </w:tc>
        <w:tc>
          <w:tcPr>
            <w:tcW w:w="1720" w:type="dxa"/>
            <w:tcBorders>
              <w:top w:val="nil"/>
              <w:left w:val="nil"/>
              <w:bottom w:val="nil"/>
              <w:right w:val="nil"/>
            </w:tcBorders>
            <w:shd w:val="clear" w:color="000000" w:fill="C0C0C0"/>
            <w:noWrap/>
            <w:vAlign w:val="bottom"/>
            <w:hideMark/>
          </w:tcPr>
          <w:p w14:paraId="2F8EDDA7" w14:textId="77777777" w:rsidR="00271F34" w:rsidRPr="00D51EF4" w:rsidRDefault="00271F34" w:rsidP="00271F34">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0.523***</w:t>
            </w:r>
          </w:p>
        </w:tc>
        <w:tc>
          <w:tcPr>
            <w:tcW w:w="960" w:type="dxa"/>
            <w:tcBorders>
              <w:top w:val="nil"/>
              <w:left w:val="nil"/>
              <w:bottom w:val="nil"/>
              <w:right w:val="nil"/>
            </w:tcBorders>
            <w:shd w:val="clear" w:color="000000" w:fill="C0C0C0"/>
            <w:noWrap/>
            <w:vAlign w:val="bottom"/>
            <w:hideMark/>
          </w:tcPr>
          <w:p w14:paraId="16DA2EAE" w14:textId="77777777" w:rsidR="00271F34" w:rsidRPr="00D51EF4" w:rsidRDefault="00271F34" w:rsidP="00271F34">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54.62 %</w:t>
            </w:r>
          </w:p>
        </w:tc>
        <w:tc>
          <w:tcPr>
            <w:tcW w:w="960" w:type="dxa"/>
            <w:tcBorders>
              <w:top w:val="nil"/>
              <w:left w:val="nil"/>
              <w:bottom w:val="nil"/>
              <w:right w:val="nil"/>
            </w:tcBorders>
            <w:shd w:val="clear" w:color="auto" w:fill="auto"/>
            <w:noWrap/>
            <w:vAlign w:val="bottom"/>
            <w:hideMark/>
          </w:tcPr>
          <w:p w14:paraId="4B3D88F9" w14:textId="77777777" w:rsidR="00271F34" w:rsidRPr="00D51EF4" w:rsidRDefault="00271F34" w:rsidP="00271F34">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392</w:t>
            </w:r>
          </w:p>
        </w:tc>
      </w:tr>
      <w:tr w:rsidR="00271F34" w:rsidRPr="00D51EF4" w14:paraId="5AE12EB5" w14:textId="77777777" w:rsidTr="00271F34">
        <w:trPr>
          <w:trHeight w:val="300"/>
        </w:trPr>
        <w:tc>
          <w:tcPr>
            <w:tcW w:w="2940" w:type="dxa"/>
            <w:tcBorders>
              <w:top w:val="nil"/>
              <w:left w:val="nil"/>
              <w:bottom w:val="nil"/>
              <w:right w:val="nil"/>
            </w:tcBorders>
            <w:shd w:val="clear" w:color="auto" w:fill="auto"/>
            <w:noWrap/>
            <w:vAlign w:val="bottom"/>
            <w:hideMark/>
          </w:tcPr>
          <w:p w14:paraId="6A953921" w14:textId="77777777" w:rsidR="00271F34" w:rsidRPr="00D51EF4" w:rsidRDefault="00271F34" w:rsidP="00271F34">
            <w:pPr>
              <w:rPr>
                <w:rFonts w:ascii="Arial" w:hAnsi="Arial" w:cs="Arial"/>
                <w:b/>
                <w:bCs/>
                <w:sz w:val="20"/>
                <w:szCs w:val="20"/>
                <w:lang w:val="en-GB" w:eastAsia="en-US"/>
              </w:rPr>
            </w:pPr>
          </w:p>
        </w:tc>
        <w:tc>
          <w:tcPr>
            <w:tcW w:w="1720" w:type="dxa"/>
            <w:tcBorders>
              <w:top w:val="nil"/>
              <w:left w:val="nil"/>
              <w:bottom w:val="nil"/>
              <w:right w:val="nil"/>
            </w:tcBorders>
            <w:shd w:val="clear" w:color="000000" w:fill="C0C0C0"/>
            <w:noWrap/>
            <w:vAlign w:val="bottom"/>
            <w:hideMark/>
          </w:tcPr>
          <w:p w14:paraId="79BD8C4A" w14:textId="77777777" w:rsidR="00271F34" w:rsidRPr="00D51EF4" w:rsidRDefault="00271F34" w:rsidP="00271F34">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 </w:t>
            </w:r>
          </w:p>
        </w:tc>
        <w:tc>
          <w:tcPr>
            <w:tcW w:w="960" w:type="dxa"/>
            <w:tcBorders>
              <w:top w:val="nil"/>
              <w:left w:val="nil"/>
              <w:bottom w:val="nil"/>
              <w:right w:val="nil"/>
            </w:tcBorders>
            <w:shd w:val="clear" w:color="000000" w:fill="C0C0C0"/>
            <w:noWrap/>
            <w:vAlign w:val="bottom"/>
            <w:hideMark/>
          </w:tcPr>
          <w:p w14:paraId="77BBE2E6" w14:textId="77777777" w:rsidR="00271F34" w:rsidRPr="00D51EF4" w:rsidRDefault="00271F34" w:rsidP="00271F34">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 </w:t>
            </w:r>
          </w:p>
        </w:tc>
        <w:tc>
          <w:tcPr>
            <w:tcW w:w="960" w:type="dxa"/>
            <w:tcBorders>
              <w:top w:val="nil"/>
              <w:left w:val="nil"/>
              <w:bottom w:val="nil"/>
              <w:right w:val="nil"/>
            </w:tcBorders>
            <w:shd w:val="clear" w:color="auto" w:fill="auto"/>
            <w:noWrap/>
            <w:vAlign w:val="bottom"/>
            <w:hideMark/>
          </w:tcPr>
          <w:p w14:paraId="7DFC80AB" w14:textId="77777777" w:rsidR="00271F34" w:rsidRPr="00D51EF4" w:rsidRDefault="00271F34" w:rsidP="00271F34">
            <w:pPr>
              <w:jc w:val="center"/>
              <w:rPr>
                <w:rFonts w:ascii="Calibri" w:hAnsi="Calibri" w:cs="Calibri"/>
                <w:color w:val="000000"/>
                <w:lang w:val="en-GB" w:eastAsia="en-US"/>
              </w:rPr>
            </w:pPr>
          </w:p>
        </w:tc>
      </w:tr>
      <w:tr w:rsidR="00271F34" w:rsidRPr="00D51EF4" w14:paraId="3240DB40" w14:textId="77777777" w:rsidTr="00271F34">
        <w:trPr>
          <w:trHeight w:val="300"/>
        </w:trPr>
        <w:tc>
          <w:tcPr>
            <w:tcW w:w="2940" w:type="dxa"/>
            <w:tcBorders>
              <w:top w:val="nil"/>
              <w:left w:val="nil"/>
              <w:bottom w:val="nil"/>
              <w:right w:val="nil"/>
            </w:tcBorders>
            <w:shd w:val="clear" w:color="auto" w:fill="auto"/>
            <w:noWrap/>
            <w:vAlign w:val="bottom"/>
            <w:hideMark/>
          </w:tcPr>
          <w:p w14:paraId="0BC9C912" w14:textId="6F7FC98A" w:rsidR="00271F34" w:rsidRPr="00D51EF4" w:rsidRDefault="007E28B9" w:rsidP="00271F34">
            <w:pPr>
              <w:rPr>
                <w:rFonts w:ascii="Arial" w:hAnsi="Arial" w:cs="Arial"/>
                <w:b/>
                <w:bCs/>
                <w:sz w:val="20"/>
                <w:szCs w:val="20"/>
                <w:lang w:val="en-GB" w:eastAsia="en-US"/>
              </w:rPr>
            </w:pPr>
            <w:proofErr w:type="spellStart"/>
            <w:r>
              <w:rPr>
                <w:rFonts w:ascii="Arial" w:hAnsi="Arial" w:cs="Arial"/>
                <w:b/>
                <w:bCs/>
                <w:sz w:val="20"/>
                <w:szCs w:val="20"/>
                <w:lang w:val="en-GB" w:eastAsia="en-US"/>
              </w:rPr>
              <w:t>Non</w:t>
            </w:r>
            <w:r w:rsidR="00271F34" w:rsidRPr="00D51EF4">
              <w:rPr>
                <w:rFonts w:ascii="Arial" w:hAnsi="Arial" w:cs="Arial"/>
                <w:b/>
                <w:bCs/>
                <w:sz w:val="20"/>
                <w:szCs w:val="20"/>
                <w:lang w:val="en-GB" w:eastAsia="en-US"/>
              </w:rPr>
              <w:t>profit</w:t>
            </w:r>
            <w:proofErr w:type="spellEnd"/>
            <w:r w:rsidR="00271F34" w:rsidRPr="00D51EF4">
              <w:rPr>
                <w:rFonts w:ascii="Arial" w:hAnsi="Arial" w:cs="Arial"/>
                <w:b/>
                <w:bCs/>
                <w:sz w:val="20"/>
                <w:szCs w:val="20"/>
                <w:lang w:val="en-GB" w:eastAsia="en-US"/>
              </w:rPr>
              <w:t xml:space="preserve"> MFIs</w:t>
            </w:r>
          </w:p>
        </w:tc>
        <w:tc>
          <w:tcPr>
            <w:tcW w:w="1720" w:type="dxa"/>
            <w:tcBorders>
              <w:top w:val="nil"/>
              <w:left w:val="nil"/>
              <w:bottom w:val="nil"/>
              <w:right w:val="nil"/>
            </w:tcBorders>
            <w:shd w:val="clear" w:color="000000" w:fill="C0C0C0"/>
            <w:noWrap/>
            <w:vAlign w:val="bottom"/>
            <w:hideMark/>
          </w:tcPr>
          <w:p w14:paraId="57337FEB" w14:textId="77777777" w:rsidR="00271F34" w:rsidRPr="00D51EF4" w:rsidRDefault="00271F34" w:rsidP="00271F34">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0.472***</w:t>
            </w:r>
          </w:p>
        </w:tc>
        <w:tc>
          <w:tcPr>
            <w:tcW w:w="960" w:type="dxa"/>
            <w:tcBorders>
              <w:top w:val="nil"/>
              <w:left w:val="nil"/>
              <w:bottom w:val="nil"/>
              <w:right w:val="nil"/>
            </w:tcBorders>
            <w:shd w:val="clear" w:color="000000" w:fill="C0C0C0"/>
            <w:noWrap/>
            <w:vAlign w:val="bottom"/>
            <w:hideMark/>
          </w:tcPr>
          <w:p w14:paraId="6DBF460A" w14:textId="77777777" w:rsidR="00271F34" w:rsidRPr="00D51EF4" w:rsidRDefault="00271F34" w:rsidP="00271F34">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34.43 %</w:t>
            </w:r>
          </w:p>
        </w:tc>
        <w:tc>
          <w:tcPr>
            <w:tcW w:w="960" w:type="dxa"/>
            <w:tcBorders>
              <w:top w:val="nil"/>
              <w:left w:val="nil"/>
              <w:bottom w:val="nil"/>
              <w:right w:val="nil"/>
            </w:tcBorders>
            <w:shd w:val="clear" w:color="auto" w:fill="auto"/>
            <w:noWrap/>
            <w:vAlign w:val="bottom"/>
            <w:hideMark/>
          </w:tcPr>
          <w:p w14:paraId="5DEEEE82" w14:textId="77777777" w:rsidR="00271F34" w:rsidRPr="00D51EF4" w:rsidRDefault="00271F34" w:rsidP="00271F34">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742</w:t>
            </w:r>
          </w:p>
        </w:tc>
      </w:tr>
      <w:tr w:rsidR="00271F34" w:rsidRPr="00D51EF4" w14:paraId="5395646D" w14:textId="77777777" w:rsidTr="00271F34">
        <w:trPr>
          <w:trHeight w:val="300"/>
        </w:trPr>
        <w:tc>
          <w:tcPr>
            <w:tcW w:w="2940" w:type="dxa"/>
            <w:tcBorders>
              <w:top w:val="nil"/>
              <w:left w:val="nil"/>
              <w:bottom w:val="nil"/>
              <w:right w:val="nil"/>
            </w:tcBorders>
            <w:shd w:val="clear" w:color="auto" w:fill="auto"/>
            <w:noWrap/>
            <w:vAlign w:val="bottom"/>
            <w:hideMark/>
          </w:tcPr>
          <w:p w14:paraId="7D2800E9" w14:textId="77777777" w:rsidR="00271F34" w:rsidRPr="00D51EF4" w:rsidRDefault="00271F34" w:rsidP="00271F34">
            <w:pPr>
              <w:rPr>
                <w:rFonts w:ascii="Arial" w:hAnsi="Arial" w:cs="Arial"/>
                <w:b/>
                <w:bCs/>
                <w:sz w:val="20"/>
                <w:szCs w:val="20"/>
                <w:lang w:val="en-GB" w:eastAsia="en-US"/>
              </w:rPr>
            </w:pPr>
          </w:p>
        </w:tc>
        <w:tc>
          <w:tcPr>
            <w:tcW w:w="1720" w:type="dxa"/>
            <w:tcBorders>
              <w:top w:val="nil"/>
              <w:left w:val="nil"/>
              <w:bottom w:val="nil"/>
              <w:right w:val="nil"/>
            </w:tcBorders>
            <w:shd w:val="clear" w:color="000000" w:fill="C0C0C0"/>
            <w:noWrap/>
            <w:vAlign w:val="bottom"/>
            <w:hideMark/>
          </w:tcPr>
          <w:p w14:paraId="02B7E29C" w14:textId="77777777" w:rsidR="00271F34" w:rsidRPr="00D51EF4" w:rsidRDefault="00271F34" w:rsidP="00271F34">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 </w:t>
            </w:r>
          </w:p>
        </w:tc>
        <w:tc>
          <w:tcPr>
            <w:tcW w:w="960" w:type="dxa"/>
            <w:tcBorders>
              <w:top w:val="nil"/>
              <w:left w:val="nil"/>
              <w:bottom w:val="nil"/>
              <w:right w:val="nil"/>
            </w:tcBorders>
            <w:shd w:val="clear" w:color="000000" w:fill="C0C0C0"/>
            <w:noWrap/>
            <w:vAlign w:val="bottom"/>
            <w:hideMark/>
          </w:tcPr>
          <w:p w14:paraId="637D26CE" w14:textId="77777777" w:rsidR="00271F34" w:rsidRPr="00D51EF4" w:rsidRDefault="00271F34" w:rsidP="00271F34">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 </w:t>
            </w:r>
          </w:p>
        </w:tc>
        <w:tc>
          <w:tcPr>
            <w:tcW w:w="960" w:type="dxa"/>
            <w:tcBorders>
              <w:top w:val="nil"/>
              <w:left w:val="nil"/>
              <w:bottom w:val="nil"/>
              <w:right w:val="nil"/>
            </w:tcBorders>
            <w:shd w:val="clear" w:color="auto" w:fill="auto"/>
            <w:noWrap/>
            <w:vAlign w:val="bottom"/>
            <w:hideMark/>
          </w:tcPr>
          <w:p w14:paraId="53468627" w14:textId="77777777" w:rsidR="00271F34" w:rsidRPr="00D51EF4" w:rsidRDefault="00271F34" w:rsidP="00271F34">
            <w:pPr>
              <w:jc w:val="center"/>
              <w:rPr>
                <w:rFonts w:ascii="Calibri" w:hAnsi="Calibri" w:cs="Calibri"/>
                <w:color w:val="000000"/>
                <w:lang w:val="en-GB" w:eastAsia="en-US"/>
              </w:rPr>
            </w:pPr>
          </w:p>
        </w:tc>
      </w:tr>
      <w:tr w:rsidR="00271F34" w:rsidRPr="00D51EF4" w14:paraId="6414BA56" w14:textId="77777777" w:rsidTr="00271F34">
        <w:trPr>
          <w:trHeight w:val="300"/>
        </w:trPr>
        <w:tc>
          <w:tcPr>
            <w:tcW w:w="2940" w:type="dxa"/>
            <w:tcBorders>
              <w:top w:val="nil"/>
              <w:left w:val="nil"/>
              <w:bottom w:val="nil"/>
              <w:right w:val="nil"/>
            </w:tcBorders>
            <w:shd w:val="clear" w:color="auto" w:fill="auto"/>
            <w:noWrap/>
            <w:vAlign w:val="bottom"/>
            <w:hideMark/>
          </w:tcPr>
          <w:p w14:paraId="253A96C5" w14:textId="07F57F9D" w:rsidR="00271F34" w:rsidRPr="00D51EF4" w:rsidRDefault="0083538A" w:rsidP="00271F34">
            <w:pPr>
              <w:rPr>
                <w:rFonts w:ascii="Arial" w:hAnsi="Arial" w:cs="Arial"/>
                <w:b/>
                <w:bCs/>
                <w:i/>
                <w:iCs/>
                <w:sz w:val="20"/>
                <w:szCs w:val="20"/>
                <w:lang w:val="en-GB" w:eastAsia="en-US"/>
              </w:rPr>
            </w:pPr>
            <w:r w:rsidRPr="00D51EF4">
              <w:rPr>
                <w:rFonts w:ascii="Arial" w:hAnsi="Arial" w:cs="Arial"/>
                <w:b/>
                <w:bCs/>
                <w:i/>
                <w:iCs/>
                <w:sz w:val="20"/>
                <w:szCs w:val="20"/>
                <w:lang w:val="en-GB" w:eastAsia="en-US"/>
              </w:rPr>
              <w:t xml:space="preserve">P-value of </w:t>
            </w:r>
            <w:r w:rsidR="00F276D3" w:rsidRPr="00D51EF4">
              <w:rPr>
                <w:rFonts w:ascii="Arial" w:hAnsi="Arial" w:cs="Arial"/>
                <w:b/>
                <w:bCs/>
                <w:i/>
                <w:iCs/>
                <w:sz w:val="20"/>
                <w:szCs w:val="20"/>
                <w:lang w:val="en-GB" w:eastAsia="en-US"/>
              </w:rPr>
              <w:t xml:space="preserve">the </w:t>
            </w:r>
            <w:r w:rsidRPr="00D51EF4">
              <w:rPr>
                <w:rFonts w:ascii="Arial" w:hAnsi="Arial" w:cs="Arial"/>
                <w:b/>
                <w:bCs/>
                <w:i/>
                <w:iCs/>
                <w:sz w:val="20"/>
                <w:szCs w:val="20"/>
                <w:lang w:val="en-GB" w:eastAsia="en-US"/>
              </w:rPr>
              <w:t>differ</w:t>
            </w:r>
            <w:r w:rsidR="00380F24" w:rsidRPr="00D51EF4">
              <w:rPr>
                <w:rFonts w:ascii="Arial" w:hAnsi="Arial" w:cs="Arial"/>
                <w:b/>
                <w:bCs/>
                <w:i/>
                <w:iCs/>
                <w:sz w:val="20"/>
                <w:szCs w:val="20"/>
                <w:lang w:val="en-GB" w:eastAsia="en-US"/>
              </w:rPr>
              <w:t>ence</w:t>
            </w:r>
          </w:p>
        </w:tc>
        <w:tc>
          <w:tcPr>
            <w:tcW w:w="1720" w:type="dxa"/>
            <w:tcBorders>
              <w:top w:val="nil"/>
              <w:left w:val="nil"/>
              <w:bottom w:val="nil"/>
              <w:right w:val="nil"/>
            </w:tcBorders>
            <w:shd w:val="clear" w:color="000000" w:fill="C0C0C0"/>
            <w:noWrap/>
            <w:vAlign w:val="bottom"/>
            <w:hideMark/>
          </w:tcPr>
          <w:p w14:paraId="53B6CFFE" w14:textId="77777777" w:rsidR="00271F34" w:rsidRPr="00D51EF4" w:rsidRDefault="00271F34" w:rsidP="00271F34">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 </w:t>
            </w:r>
            <w:r w:rsidR="00380F24" w:rsidRPr="00D51EF4">
              <w:rPr>
                <w:rFonts w:ascii="Calibri" w:hAnsi="Calibri" w:cs="Calibri"/>
                <w:color w:val="000000"/>
                <w:sz w:val="22"/>
                <w:szCs w:val="22"/>
                <w:lang w:val="en-GB" w:eastAsia="en-US"/>
              </w:rPr>
              <w:t>0.19</w:t>
            </w:r>
          </w:p>
        </w:tc>
        <w:tc>
          <w:tcPr>
            <w:tcW w:w="960" w:type="dxa"/>
            <w:tcBorders>
              <w:top w:val="nil"/>
              <w:left w:val="nil"/>
              <w:bottom w:val="nil"/>
              <w:right w:val="nil"/>
            </w:tcBorders>
            <w:shd w:val="clear" w:color="000000" w:fill="C0C0C0"/>
            <w:noWrap/>
            <w:vAlign w:val="bottom"/>
            <w:hideMark/>
          </w:tcPr>
          <w:p w14:paraId="2756279B" w14:textId="77777777" w:rsidR="00271F34" w:rsidRPr="00D51EF4" w:rsidRDefault="00380F24" w:rsidP="00271F34">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0.00</w:t>
            </w:r>
            <w:r w:rsidR="00271F34" w:rsidRPr="00D51EF4">
              <w:rPr>
                <w:rFonts w:ascii="Calibri" w:hAnsi="Calibri" w:cs="Calibri"/>
                <w:color w:val="000000"/>
                <w:sz w:val="22"/>
                <w:szCs w:val="22"/>
                <w:lang w:val="en-GB" w:eastAsia="en-US"/>
              </w:rPr>
              <w:t> </w:t>
            </w:r>
          </w:p>
        </w:tc>
        <w:tc>
          <w:tcPr>
            <w:tcW w:w="960" w:type="dxa"/>
            <w:tcBorders>
              <w:top w:val="nil"/>
              <w:left w:val="nil"/>
              <w:bottom w:val="nil"/>
              <w:right w:val="nil"/>
            </w:tcBorders>
            <w:shd w:val="clear" w:color="auto" w:fill="auto"/>
            <w:noWrap/>
            <w:vAlign w:val="bottom"/>
            <w:hideMark/>
          </w:tcPr>
          <w:p w14:paraId="2F3A211A" w14:textId="77777777" w:rsidR="00271F34" w:rsidRPr="00D51EF4" w:rsidRDefault="00271F34" w:rsidP="00271F34">
            <w:pPr>
              <w:jc w:val="center"/>
              <w:rPr>
                <w:rFonts w:ascii="Calibri" w:hAnsi="Calibri" w:cs="Calibri"/>
                <w:color w:val="000000"/>
                <w:lang w:val="en-GB" w:eastAsia="en-US"/>
              </w:rPr>
            </w:pPr>
          </w:p>
        </w:tc>
      </w:tr>
    </w:tbl>
    <w:p w14:paraId="0A3D518F" w14:textId="77777777" w:rsidR="00271F34" w:rsidRPr="00D51EF4" w:rsidRDefault="00271F34" w:rsidP="00271F34">
      <w:pPr>
        <w:autoSpaceDE w:val="0"/>
        <w:autoSpaceDN w:val="0"/>
        <w:adjustRightInd w:val="0"/>
        <w:spacing w:line="480" w:lineRule="auto"/>
        <w:rPr>
          <w:sz w:val="20"/>
          <w:szCs w:val="20"/>
          <w:lang w:val="en-GB"/>
        </w:rPr>
      </w:pPr>
    </w:p>
    <w:p w14:paraId="6D6E8608" w14:textId="4D1ADC10" w:rsidR="00271F34" w:rsidRPr="00D51EF4" w:rsidRDefault="00271F34" w:rsidP="00271F34">
      <w:pPr>
        <w:jc w:val="both"/>
        <w:rPr>
          <w:sz w:val="20"/>
          <w:szCs w:val="20"/>
          <w:lang w:val="en-GB"/>
        </w:rPr>
      </w:pPr>
      <w:r w:rsidRPr="00D51EF4">
        <w:rPr>
          <w:sz w:val="20"/>
          <w:szCs w:val="20"/>
          <w:lang w:val="en-GB"/>
        </w:rPr>
        <w:t xml:space="preserve">Table </w:t>
      </w:r>
      <w:r w:rsidR="00A1711B" w:rsidRPr="00D51EF4">
        <w:rPr>
          <w:sz w:val="20"/>
          <w:szCs w:val="20"/>
          <w:lang w:val="en-GB"/>
        </w:rPr>
        <w:t>4</w:t>
      </w:r>
      <w:r w:rsidRPr="00D51EF4">
        <w:rPr>
          <w:sz w:val="20"/>
          <w:szCs w:val="20"/>
          <w:lang w:val="en-GB"/>
        </w:rPr>
        <w:t xml:space="preserve"> presents the results from the regression </w:t>
      </w:r>
      <w:r w:rsidR="007E387A" w:rsidRPr="00D51EF4">
        <w:rPr>
          <w:sz w:val="20"/>
          <w:szCs w:val="20"/>
          <w:lang w:val="en-GB"/>
        </w:rPr>
        <w:t xml:space="preserve">(1) </w:t>
      </w:r>
      <w:r w:rsidR="001268FB" w:rsidRPr="00D51EF4">
        <w:rPr>
          <w:rFonts w:ascii="Arial" w:hAnsi="Arial" w:cs="Arial"/>
          <w:sz w:val="20"/>
          <w:szCs w:val="20"/>
          <w:lang w:val="en-GB"/>
        </w:rPr>
        <w:t>EARN</w:t>
      </w:r>
      <w:r w:rsidRPr="00D51EF4">
        <w:rPr>
          <w:rFonts w:ascii="Arial" w:hAnsi="Arial" w:cs="Arial"/>
          <w:sz w:val="20"/>
          <w:szCs w:val="20"/>
          <w:vertAlign w:val="subscript"/>
          <w:lang w:val="en-GB"/>
        </w:rPr>
        <w:t>i</w:t>
      </w:r>
      <w:proofErr w:type="gramStart"/>
      <w:r w:rsidRPr="00D51EF4">
        <w:rPr>
          <w:rFonts w:ascii="Arial" w:hAnsi="Arial" w:cs="Arial"/>
          <w:sz w:val="20"/>
          <w:szCs w:val="20"/>
          <w:vertAlign w:val="subscript"/>
          <w:lang w:val="en-GB"/>
        </w:rPr>
        <w:t>,t</w:t>
      </w:r>
      <w:proofErr w:type="gramEnd"/>
      <w:r w:rsidRPr="00D51EF4">
        <w:rPr>
          <w:sz w:val="20"/>
          <w:szCs w:val="20"/>
          <w:vertAlign w:val="subscript"/>
          <w:lang w:val="en-GB"/>
        </w:rPr>
        <w:t xml:space="preserve"> </w:t>
      </w:r>
      <w:r w:rsidRPr="00D51EF4">
        <w:rPr>
          <w:sz w:val="20"/>
          <w:szCs w:val="20"/>
          <w:lang w:val="en-GB"/>
        </w:rPr>
        <w:t xml:space="preserve">= </w:t>
      </w:r>
      <w:r w:rsidRPr="00D51EF4">
        <w:rPr>
          <w:rFonts w:ascii="Arial" w:hAnsi="Arial" w:cs="Arial"/>
          <w:sz w:val="20"/>
          <w:szCs w:val="20"/>
          <w:lang w:val="en-GB"/>
        </w:rPr>
        <w:t>β</w:t>
      </w:r>
      <w:r w:rsidRPr="00D51EF4">
        <w:rPr>
          <w:rFonts w:ascii="Arial" w:hAnsi="Arial" w:cs="Arial"/>
          <w:sz w:val="20"/>
          <w:szCs w:val="20"/>
          <w:vertAlign w:val="subscript"/>
          <w:lang w:val="en-GB"/>
        </w:rPr>
        <w:t>0</w:t>
      </w:r>
      <w:r w:rsidRPr="00D51EF4">
        <w:rPr>
          <w:rFonts w:ascii="Arial" w:hAnsi="Arial" w:cs="Arial"/>
          <w:sz w:val="20"/>
          <w:szCs w:val="20"/>
          <w:lang w:val="en-GB"/>
        </w:rPr>
        <w:t xml:space="preserve"> + β</w:t>
      </w:r>
      <w:r w:rsidRPr="00D51EF4">
        <w:rPr>
          <w:rFonts w:ascii="Arial" w:hAnsi="Arial" w:cs="Arial"/>
          <w:sz w:val="20"/>
          <w:szCs w:val="20"/>
          <w:vertAlign w:val="subscript"/>
          <w:lang w:val="en-GB"/>
        </w:rPr>
        <w:t>1</w:t>
      </w:r>
      <w:r w:rsidRPr="00D51EF4">
        <w:rPr>
          <w:rFonts w:ascii="Arial" w:hAnsi="Arial" w:cs="Arial"/>
          <w:sz w:val="20"/>
          <w:szCs w:val="20"/>
          <w:lang w:val="en-GB"/>
        </w:rPr>
        <w:t>*E</w:t>
      </w:r>
      <w:r w:rsidR="001268FB" w:rsidRPr="00D51EF4">
        <w:rPr>
          <w:rFonts w:ascii="Arial" w:hAnsi="Arial" w:cs="Arial"/>
          <w:sz w:val="20"/>
          <w:szCs w:val="20"/>
          <w:lang w:val="en-GB"/>
        </w:rPr>
        <w:t>ARN</w:t>
      </w:r>
      <w:r w:rsidRPr="00D51EF4">
        <w:rPr>
          <w:rFonts w:ascii="Arial" w:hAnsi="Arial" w:cs="Arial"/>
          <w:sz w:val="20"/>
          <w:szCs w:val="20"/>
          <w:vertAlign w:val="subscript"/>
          <w:lang w:val="en-GB"/>
        </w:rPr>
        <w:t>i,t-1</w:t>
      </w:r>
      <w:r w:rsidRPr="00D51EF4">
        <w:rPr>
          <w:rFonts w:ascii="Arial" w:hAnsi="Arial" w:cs="Arial"/>
          <w:sz w:val="20"/>
          <w:szCs w:val="20"/>
          <w:lang w:val="en-GB"/>
        </w:rPr>
        <w:t xml:space="preserve"> + ε</w:t>
      </w:r>
      <w:r w:rsidR="00DF7367" w:rsidRPr="00D51EF4">
        <w:rPr>
          <w:sz w:val="20"/>
          <w:szCs w:val="20"/>
          <w:lang w:val="en-GB"/>
        </w:rPr>
        <w:t>, where EARN</w:t>
      </w:r>
      <w:r w:rsidRPr="00D51EF4">
        <w:rPr>
          <w:sz w:val="20"/>
          <w:szCs w:val="20"/>
          <w:lang w:val="en-GB"/>
        </w:rPr>
        <w:t xml:space="preserve"> </w:t>
      </w:r>
      <w:r w:rsidR="00F778FC" w:rsidRPr="00D51EF4">
        <w:rPr>
          <w:sz w:val="20"/>
          <w:szCs w:val="20"/>
          <w:lang w:val="en-GB"/>
        </w:rPr>
        <w:t>denotes the</w:t>
      </w:r>
      <w:r w:rsidRPr="00D51EF4">
        <w:rPr>
          <w:sz w:val="20"/>
          <w:szCs w:val="20"/>
          <w:lang w:val="en-GB"/>
        </w:rPr>
        <w:t xml:space="preserve"> earnings scaled by end</w:t>
      </w:r>
      <w:r w:rsidR="00F778FC" w:rsidRPr="00D51EF4">
        <w:rPr>
          <w:sz w:val="20"/>
          <w:szCs w:val="20"/>
          <w:lang w:val="en-GB"/>
        </w:rPr>
        <w:t>-</w:t>
      </w:r>
      <w:r w:rsidRPr="00D51EF4">
        <w:rPr>
          <w:sz w:val="20"/>
          <w:szCs w:val="20"/>
          <w:lang w:val="en-GB"/>
        </w:rPr>
        <w:t>of</w:t>
      </w:r>
      <w:r w:rsidR="00F778FC" w:rsidRPr="00D51EF4">
        <w:rPr>
          <w:sz w:val="20"/>
          <w:szCs w:val="20"/>
          <w:lang w:val="en-GB"/>
        </w:rPr>
        <w:t>-</w:t>
      </w:r>
      <w:r w:rsidRPr="00D51EF4">
        <w:rPr>
          <w:sz w:val="20"/>
          <w:szCs w:val="20"/>
          <w:lang w:val="en-GB"/>
        </w:rPr>
        <w:t>period total assets</w:t>
      </w:r>
      <w:r w:rsidR="00380F24" w:rsidRPr="00D51EF4">
        <w:rPr>
          <w:sz w:val="20"/>
          <w:szCs w:val="20"/>
          <w:lang w:val="en-GB"/>
        </w:rPr>
        <w:t>. One (*), two (**) and three (***) asterisks denote the conventional 10%, 5% and 1% significance levels</w:t>
      </w:r>
      <w:r w:rsidR="0041143A" w:rsidRPr="00D51EF4">
        <w:rPr>
          <w:sz w:val="20"/>
          <w:szCs w:val="20"/>
          <w:lang w:val="en-GB"/>
        </w:rPr>
        <w:t xml:space="preserve"> for the explanatory variable</w:t>
      </w:r>
      <w:r w:rsidR="00BA1617" w:rsidRPr="00D51EF4">
        <w:rPr>
          <w:sz w:val="20"/>
          <w:szCs w:val="20"/>
          <w:lang w:val="en-GB"/>
        </w:rPr>
        <w:t xml:space="preserve"> of the regression</w:t>
      </w:r>
      <w:r w:rsidR="00380F24" w:rsidRPr="00D51EF4">
        <w:rPr>
          <w:sz w:val="20"/>
          <w:szCs w:val="20"/>
          <w:lang w:val="en-GB"/>
        </w:rPr>
        <w:t xml:space="preserve">. </w:t>
      </w:r>
      <w:r w:rsidRPr="00D51EF4">
        <w:rPr>
          <w:sz w:val="20"/>
          <w:szCs w:val="20"/>
          <w:lang w:val="en-GB"/>
        </w:rPr>
        <w:t xml:space="preserve">The slope coefficient </w:t>
      </w:r>
      <w:r w:rsidRPr="00D51EF4">
        <w:rPr>
          <w:rFonts w:ascii="Arial" w:hAnsi="Arial" w:cs="Arial"/>
          <w:sz w:val="20"/>
          <w:szCs w:val="20"/>
          <w:lang w:val="en-GB"/>
        </w:rPr>
        <w:t>β</w:t>
      </w:r>
      <w:r w:rsidRPr="00D51EF4">
        <w:rPr>
          <w:sz w:val="20"/>
          <w:szCs w:val="20"/>
          <w:vertAlign w:val="subscript"/>
          <w:lang w:val="en-GB"/>
        </w:rPr>
        <w:t>1</w:t>
      </w:r>
      <w:r w:rsidRPr="00D51EF4">
        <w:rPr>
          <w:sz w:val="20"/>
          <w:szCs w:val="20"/>
          <w:lang w:val="en-GB"/>
        </w:rPr>
        <w:t xml:space="preserve"> </w:t>
      </w:r>
      <w:proofErr w:type="gramStart"/>
      <w:r w:rsidRPr="00D51EF4">
        <w:rPr>
          <w:sz w:val="20"/>
          <w:szCs w:val="20"/>
          <w:lang w:val="en-GB"/>
        </w:rPr>
        <w:t>is applied</w:t>
      </w:r>
      <w:proofErr w:type="gramEnd"/>
      <w:r w:rsidRPr="00D51EF4">
        <w:rPr>
          <w:sz w:val="20"/>
          <w:szCs w:val="20"/>
          <w:lang w:val="en-GB"/>
        </w:rPr>
        <w:t xml:space="preserve"> as a proxy variable for earnings persistence, whereas the adjusted R</w:t>
      </w:r>
      <w:r w:rsidRPr="00D51EF4">
        <w:rPr>
          <w:sz w:val="20"/>
          <w:szCs w:val="20"/>
          <w:vertAlign w:val="superscript"/>
          <w:lang w:val="en-GB"/>
        </w:rPr>
        <w:t>2</w:t>
      </w:r>
      <w:r w:rsidRPr="00D51EF4">
        <w:rPr>
          <w:sz w:val="20"/>
          <w:szCs w:val="20"/>
          <w:lang w:val="en-GB"/>
        </w:rPr>
        <w:t xml:space="preserve"> is our proxy variable for earnings predictability (shaded columns). </w:t>
      </w:r>
      <w:proofErr w:type="gramStart"/>
      <w:r w:rsidR="00380F24" w:rsidRPr="00D51EF4">
        <w:rPr>
          <w:sz w:val="20"/>
          <w:szCs w:val="20"/>
          <w:lang w:val="en-GB"/>
        </w:rPr>
        <w:t xml:space="preserve">The p-value for </w:t>
      </w:r>
      <w:r w:rsidR="00F778FC" w:rsidRPr="00D51EF4">
        <w:rPr>
          <w:sz w:val="20"/>
          <w:szCs w:val="20"/>
          <w:lang w:val="en-GB"/>
        </w:rPr>
        <w:t xml:space="preserve">the </w:t>
      </w:r>
      <w:r w:rsidR="00380F24" w:rsidRPr="00D51EF4">
        <w:rPr>
          <w:sz w:val="20"/>
          <w:szCs w:val="20"/>
          <w:lang w:val="en-GB"/>
        </w:rPr>
        <w:t>difference in earnings persistence is estimated by re-running (1)</w:t>
      </w:r>
      <w:proofErr w:type="gramEnd"/>
      <w:r w:rsidR="00380F24" w:rsidRPr="00D51EF4">
        <w:rPr>
          <w:sz w:val="20"/>
          <w:szCs w:val="20"/>
          <w:lang w:val="en-GB"/>
        </w:rPr>
        <w:t xml:space="preserve"> on a pooled sample</w:t>
      </w:r>
      <w:r w:rsidR="007E28B9">
        <w:rPr>
          <w:sz w:val="20"/>
          <w:szCs w:val="20"/>
          <w:lang w:val="en-GB"/>
        </w:rPr>
        <w:t xml:space="preserve"> with a binary variable for </w:t>
      </w:r>
      <w:proofErr w:type="spellStart"/>
      <w:r w:rsidR="007E28B9">
        <w:rPr>
          <w:sz w:val="20"/>
          <w:szCs w:val="20"/>
          <w:lang w:val="en-GB"/>
        </w:rPr>
        <w:t>non</w:t>
      </w:r>
      <w:r w:rsidR="00380F24" w:rsidRPr="00D51EF4">
        <w:rPr>
          <w:sz w:val="20"/>
          <w:szCs w:val="20"/>
          <w:lang w:val="en-GB"/>
        </w:rPr>
        <w:t>profit</w:t>
      </w:r>
      <w:proofErr w:type="spellEnd"/>
      <w:r w:rsidR="00CE0EED">
        <w:rPr>
          <w:sz w:val="20"/>
          <w:szCs w:val="20"/>
          <w:lang w:val="en-GB"/>
        </w:rPr>
        <w:t xml:space="preserve"> organisations</w:t>
      </w:r>
      <w:r w:rsidR="00380F24" w:rsidRPr="00D51EF4">
        <w:rPr>
          <w:sz w:val="20"/>
          <w:szCs w:val="20"/>
          <w:lang w:val="en-GB"/>
        </w:rPr>
        <w:t>. The listed p-value is the significance level of</w:t>
      </w:r>
      <w:r w:rsidR="001268FB" w:rsidRPr="00D51EF4">
        <w:rPr>
          <w:sz w:val="20"/>
          <w:szCs w:val="20"/>
          <w:lang w:val="en-GB"/>
        </w:rPr>
        <w:t xml:space="preserve"> an interaction variable of EARN</w:t>
      </w:r>
      <w:r w:rsidR="00380F24" w:rsidRPr="00D51EF4">
        <w:rPr>
          <w:sz w:val="20"/>
          <w:szCs w:val="20"/>
          <w:lang w:val="en-GB"/>
        </w:rPr>
        <w:t xml:space="preserve"> multiplied by the binary variable.</w:t>
      </w:r>
      <w:r w:rsidRPr="00D51EF4">
        <w:rPr>
          <w:sz w:val="20"/>
          <w:szCs w:val="20"/>
          <w:lang w:val="en-GB"/>
        </w:rPr>
        <w:t xml:space="preserve"> </w:t>
      </w:r>
      <w:r w:rsidR="00380F24" w:rsidRPr="00D51EF4">
        <w:rPr>
          <w:sz w:val="20"/>
          <w:szCs w:val="20"/>
          <w:lang w:val="en-GB"/>
        </w:rPr>
        <w:t xml:space="preserve">The p-value for </w:t>
      </w:r>
      <w:r w:rsidR="00F778FC" w:rsidRPr="00D51EF4">
        <w:rPr>
          <w:sz w:val="20"/>
          <w:szCs w:val="20"/>
          <w:lang w:val="en-GB"/>
        </w:rPr>
        <w:t xml:space="preserve">the </w:t>
      </w:r>
      <w:r w:rsidR="00380F24" w:rsidRPr="00D51EF4">
        <w:rPr>
          <w:sz w:val="20"/>
          <w:szCs w:val="20"/>
          <w:lang w:val="en-GB"/>
        </w:rPr>
        <w:t xml:space="preserve">difference in earnings predictability </w:t>
      </w:r>
      <w:proofErr w:type="gramStart"/>
      <w:r w:rsidR="00380F24" w:rsidRPr="00D51EF4">
        <w:rPr>
          <w:sz w:val="20"/>
          <w:szCs w:val="20"/>
          <w:lang w:val="en-GB"/>
        </w:rPr>
        <w:t>is measured</w:t>
      </w:r>
      <w:proofErr w:type="gramEnd"/>
      <w:r w:rsidR="00380F24" w:rsidRPr="00D51EF4">
        <w:rPr>
          <w:sz w:val="20"/>
          <w:szCs w:val="20"/>
          <w:lang w:val="en-GB"/>
        </w:rPr>
        <w:t xml:space="preserve"> </w:t>
      </w:r>
      <w:r w:rsidR="00F778FC" w:rsidRPr="00D51EF4">
        <w:rPr>
          <w:sz w:val="20"/>
          <w:szCs w:val="20"/>
          <w:lang w:val="en-GB"/>
        </w:rPr>
        <w:t xml:space="preserve">using </w:t>
      </w:r>
      <w:r w:rsidR="00380F24" w:rsidRPr="00D51EF4">
        <w:rPr>
          <w:sz w:val="20"/>
          <w:szCs w:val="20"/>
          <w:lang w:val="en-GB"/>
        </w:rPr>
        <w:t>the Cramer (1987)</w:t>
      </w:r>
      <w:r w:rsidR="0083538A" w:rsidRPr="00D51EF4">
        <w:rPr>
          <w:sz w:val="20"/>
          <w:szCs w:val="20"/>
          <w:lang w:val="en-GB"/>
        </w:rPr>
        <w:t xml:space="preserve"> test</w:t>
      </w:r>
      <w:r w:rsidR="00380F24" w:rsidRPr="00D51EF4">
        <w:rPr>
          <w:sz w:val="20"/>
          <w:szCs w:val="20"/>
          <w:lang w:val="en-GB"/>
        </w:rPr>
        <w:t>.</w:t>
      </w:r>
    </w:p>
    <w:p w14:paraId="4418CBC1" w14:textId="77777777" w:rsidR="00711A13" w:rsidRPr="00D51EF4" w:rsidRDefault="00711A13">
      <w:pPr>
        <w:spacing w:after="200" w:line="276" w:lineRule="auto"/>
        <w:rPr>
          <w:sz w:val="20"/>
          <w:szCs w:val="20"/>
          <w:lang w:val="en-GB"/>
        </w:rPr>
      </w:pPr>
      <w:r w:rsidRPr="00D51EF4">
        <w:rPr>
          <w:sz w:val="20"/>
          <w:szCs w:val="20"/>
          <w:lang w:val="en-GB"/>
        </w:rPr>
        <w:br w:type="page"/>
      </w:r>
    </w:p>
    <w:p w14:paraId="064D85DB" w14:textId="77777777" w:rsidR="00271F34" w:rsidRPr="00D51EF4" w:rsidRDefault="00271F34" w:rsidP="00271F34">
      <w:pPr>
        <w:autoSpaceDE w:val="0"/>
        <w:autoSpaceDN w:val="0"/>
        <w:adjustRightInd w:val="0"/>
        <w:jc w:val="both"/>
        <w:rPr>
          <w:sz w:val="20"/>
          <w:szCs w:val="20"/>
          <w:lang w:val="en-GB"/>
        </w:rPr>
      </w:pPr>
    </w:p>
    <w:p w14:paraId="6714D4C2" w14:textId="77777777" w:rsidR="00711A13" w:rsidRPr="00D51EF4" w:rsidRDefault="00711A13" w:rsidP="00711A13">
      <w:pPr>
        <w:autoSpaceDE w:val="0"/>
        <w:autoSpaceDN w:val="0"/>
        <w:adjustRightInd w:val="0"/>
        <w:spacing w:line="480" w:lineRule="auto"/>
        <w:rPr>
          <w:b/>
          <w:i/>
          <w:lang w:val="en-GB"/>
        </w:rPr>
      </w:pPr>
      <w:r w:rsidRPr="00D51EF4">
        <w:rPr>
          <w:b/>
          <w:i/>
          <w:lang w:val="en-GB"/>
        </w:rPr>
        <w:t xml:space="preserve">Table </w:t>
      </w:r>
      <w:r w:rsidR="00A1711B" w:rsidRPr="00D51EF4">
        <w:rPr>
          <w:b/>
          <w:i/>
          <w:lang w:val="en-GB"/>
        </w:rPr>
        <w:t>5</w:t>
      </w:r>
      <w:r w:rsidRPr="00D51EF4">
        <w:rPr>
          <w:b/>
          <w:i/>
          <w:lang w:val="en-GB"/>
        </w:rPr>
        <w:t xml:space="preserve">: Earnings Quality as Measured by Earnings Management </w:t>
      </w:r>
    </w:p>
    <w:tbl>
      <w:tblPr>
        <w:tblW w:w="10647" w:type="dxa"/>
        <w:tblInd w:w="93" w:type="dxa"/>
        <w:tblLayout w:type="fixed"/>
        <w:tblLook w:val="04A0" w:firstRow="1" w:lastRow="0" w:firstColumn="1" w:lastColumn="0" w:noHBand="0" w:noVBand="1"/>
      </w:tblPr>
      <w:tblGrid>
        <w:gridCol w:w="2992"/>
        <w:gridCol w:w="992"/>
        <w:gridCol w:w="1985"/>
        <w:gridCol w:w="947"/>
        <w:gridCol w:w="470"/>
        <w:gridCol w:w="1630"/>
        <w:gridCol w:w="1631"/>
      </w:tblGrid>
      <w:tr w:rsidR="00953415" w:rsidRPr="00D51EF4" w14:paraId="38B2B586" w14:textId="77777777" w:rsidTr="00953415">
        <w:trPr>
          <w:trHeight w:val="300"/>
        </w:trPr>
        <w:tc>
          <w:tcPr>
            <w:tcW w:w="2992" w:type="dxa"/>
            <w:tcBorders>
              <w:top w:val="nil"/>
              <w:left w:val="nil"/>
              <w:bottom w:val="nil"/>
              <w:right w:val="nil"/>
            </w:tcBorders>
            <w:shd w:val="clear" w:color="auto" w:fill="auto"/>
            <w:noWrap/>
            <w:vAlign w:val="bottom"/>
            <w:hideMark/>
          </w:tcPr>
          <w:p w14:paraId="25330B24" w14:textId="77777777" w:rsidR="00953415" w:rsidRPr="00D51EF4" w:rsidRDefault="00953415" w:rsidP="00711A13">
            <w:pPr>
              <w:rPr>
                <w:rFonts w:ascii="Calibri" w:hAnsi="Calibri" w:cs="Calibri"/>
                <w:color w:val="000000"/>
                <w:lang w:val="en-GB" w:eastAsia="en-US"/>
              </w:rPr>
            </w:pPr>
          </w:p>
        </w:tc>
        <w:tc>
          <w:tcPr>
            <w:tcW w:w="992" w:type="dxa"/>
            <w:tcBorders>
              <w:top w:val="nil"/>
              <w:left w:val="nil"/>
              <w:bottom w:val="single" w:sz="4" w:space="0" w:color="auto"/>
              <w:right w:val="nil"/>
            </w:tcBorders>
            <w:shd w:val="clear" w:color="auto" w:fill="auto"/>
            <w:noWrap/>
            <w:vAlign w:val="bottom"/>
            <w:hideMark/>
          </w:tcPr>
          <w:p w14:paraId="323F36CD" w14:textId="77777777" w:rsidR="00953415" w:rsidRPr="00D51EF4" w:rsidRDefault="00953415" w:rsidP="00711A13">
            <w:pPr>
              <w:rPr>
                <w:rFonts w:ascii="Calibri" w:hAnsi="Calibri" w:cs="Calibri"/>
                <w:color w:val="000000"/>
                <w:lang w:val="en-GB" w:eastAsia="en-US"/>
              </w:rPr>
            </w:pPr>
          </w:p>
        </w:tc>
        <w:tc>
          <w:tcPr>
            <w:tcW w:w="1985" w:type="dxa"/>
            <w:tcBorders>
              <w:top w:val="nil"/>
              <w:left w:val="nil"/>
              <w:bottom w:val="single" w:sz="4" w:space="0" w:color="auto"/>
              <w:right w:val="nil"/>
            </w:tcBorders>
            <w:shd w:val="clear" w:color="auto" w:fill="auto"/>
            <w:noWrap/>
            <w:vAlign w:val="bottom"/>
            <w:hideMark/>
          </w:tcPr>
          <w:p w14:paraId="3E261E54" w14:textId="77777777" w:rsidR="00953415" w:rsidRPr="00D51EF4" w:rsidRDefault="00953415" w:rsidP="00711A13">
            <w:pPr>
              <w:jc w:val="center"/>
              <w:rPr>
                <w:rFonts w:ascii="Calibri" w:hAnsi="Calibri" w:cs="Calibri"/>
                <w:b/>
                <w:bCs/>
                <w:color w:val="000000"/>
                <w:lang w:val="en-GB" w:eastAsia="en-US"/>
              </w:rPr>
            </w:pPr>
            <w:r w:rsidRPr="00D51EF4">
              <w:rPr>
                <w:rFonts w:ascii="Calibri" w:hAnsi="Calibri" w:cs="Calibri"/>
                <w:b/>
                <w:bCs/>
                <w:color w:val="000000"/>
                <w:sz w:val="22"/>
                <w:szCs w:val="22"/>
                <w:lang w:val="en-GB" w:eastAsia="en-US"/>
              </w:rPr>
              <w:t>Change in earnings</w:t>
            </w:r>
          </w:p>
        </w:tc>
        <w:tc>
          <w:tcPr>
            <w:tcW w:w="947" w:type="dxa"/>
            <w:tcBorders>
              <w:top w:val="nil"/>
              <w:left w:val="nil"/>
              <w:bottom w:val="single" w:sz="4" w:space="0" w:color="auto"/>
              <w:right w:val="nil"/>
            </w:tcBorders>
            <w:shd w:val="clear" w:color="auto" w:fill="auto"/>
            <w:noWrap/>
            <w:vAlign w:val="bottom"/>
            <w:hideMark/>
          </w:tcPr>
          <w:p w14:paraId="57665DC5" w14:textId="77777777" w:rsidR="00953415" w:rsidRPr="00D51EF4" w:rsidRDefault="00953415" w:rsidP="00711A13">
            <w:pPr>
              <w:rPr>
                <w:rFonts w:ascii="Calibri" w:hAnsi="Calibri" w:cs="Calibri"/>
                <w:color w:val="000000"/>
                <w:lang w:val="en-GB" w:eastAsia="en-US"/>
              </w:rPr>
            </w:pPr>
          </w:p>
        </w:tc>
        <w:tc>
          <w:tcPr>
            <w:tcW w:w="470" w:type="dxa"/>
            <w:tcBorders>
              <w:top w:val="nil"/>
              <w:left w:val="nil"/>
              <w:bottom w:val="nil"/>
              <w:right w:val="nil"/>
            </w:tcBorders>
          </w:tcPr>
          <w:p w14:paraId="0D2845EE" w14:textId="77777777" w:rsidR="00953415" w:rsidRPr="00D51EF4" w:rsidRDefault="00953415" w:rsidP="00711A13">
            <w:pPr>
              <w:jc w:val="center"/>
              <w:rPr>
                <w:rFonts w:ascii="Arial" w:hAnsi="Arial" w:cs="Arial"/>
                <w:b/>
                <w:bCs/>
                <w:sz w:val="20"/>
                <w:szCs w:val="20"/>
                <w:lang w:val="en-GB" w:eastAsia="en-US"/>
              </w:rPr>
            </w:pPr>
          </w:p>
        </w:tc>
        <w:tc>
          <w:tcPr>
            <w:tcW w:w="1630" w:type="dxa"/>
            <w:tcBorders>
              <w:top w:val="nil"/>
              <w:left w:val="nil"/>
              <w:bottom w:val="nil"/>
              <w:right w:val="nil"/>
            </w:tcBorders>
            <w:shd w:val="clear" w:color="auto" w:fill="auto"/>
            <w:noWrap/>
            <w:vAlign w:val="bottom"/>
            <w:hideMark/>
          </w:tcPr>
          <w:p w14:paraId="5D0F7C7F" w14:textId="77777777" w:rsidR="00953415" w:rsidRPr="00D51EF4" w:rsidRDefault="00953415" w:rsidP="00711A13">
            <w:pPr>
              <w:jc w:val="center"/>
              <w:rPr>
                <w:rFonts w:ascii="Arial" w:hAnsi="Arial" w:cs="Arial"/>
                <w:b/>
                <w:bCs/>
                <w:sz w:val="20"/>
                <w:szCs w:val="20"/>
                <w:lang w:val="en-GB" w:eastAsia="en-US"/>
              </w:rPr>
            </w:pPr>
          </w:p>
        </w:tc>
        <w:tc>
          <w:tcPr>
            <w:tcW w:w="1631" w:type="dxa"/>
            <w:tcBorders>
              <w:top w:val="nil"/>
              <w:left w:val="nil"/>
              <w:bottom w:val="nil"/>
              <w:right w:val="nil"/>
            </w:tcBorders>
            <w:shd w:val="clear" w:color="auto" w:fill="auto"/>
            <w:noWrap/>
            <w:vAlign w:val="bottom"/>
            <w:hideMark/>
          </w:tcPr>
          <w:p w14:paraId="36280774" w14:textId="77777777" w:rsidR="00953415" w:rsidRPr="00D51EF4" w:rsidRDefault="00953415" w:rsidP="00711A13">
            <w:pPr>
              <w:jc w:val="center"/>
              <w:rPr>
                <w:rFonts w:ascii="Arial" w:hAnsi="Arial" w:cs="Arial"/>
                <w:b/>
                <w:bCs/>
                <w:sz w:val="20"/>
                <w:szCs w:val="20"/>
                <w:lang w:val="en-GB" w:eastAsia="en-US"/>
              </w:rPr>
            </w:pPr>
          </w:p>
        </w:tc>
      </w:tr>
      <w:tr w:rsidR="00953415" w:rsidRPr="00D51EF4" w14:paraId="54138963" w14:textId="77777777" w:rsidTr="00953415">
        <w:trPr>
          <w:trHeight w:val="300"/>
        </w:trPr>
        <w:tc>
          <w:tcPr>
            <w:tcW w:w="2992" w:type="dxa"/>
            <w:tcBorders>
              <w:top w:val="nil"/>
              <w:left w:val="nil"/>
              <w:bottom w:val="nil"/>
              <w:right w:val="nil"/>
            </w:tcBorders>
            <w:shd w:val="clear" w:color="auto" w:fill="auto"/>
            <w:noWrap/>
            <w:vAlign w:val="bottom"/>
            <w:hideMark/>
          </w:tcPr>
          <w:p w14:paraId="3AEA9AFD" w14:textId="77777777" w:rsidR="00953415" w:rsidRPr="00D51EF4" w:rsidRDefault="00953415" w:rsidP="00711A13">
            <w:pPr>
              <w:rPr>
                <w:rFonts w:ascii="Calibri" w:hAnsi="Calibri" w:cs="Calibri"/>
                <w:color w:val="000000"/>
                <w:lang w:val="en-GB" w:eastAsia="en-US"/>
              </w:rPr>
            </w:pPr>
          </w:p>
        </w:tc>
        <w:tc>
          <w:tcPr>
            <w:tcW w:w="992" w:type="dxa"/>
            <w:tcBorders>
              <w:top w:val="single" w:sz="4" w:space="0" w:color="auto"/>
              <w:left w:val="nil"/>
              <w:bottom w:val="nil"/>
              <w:right w:val="nil"/>
            </w:tcBorders>
            <w:shd w:val="clear" w:color="auto" w:fill="auto"/>
            <w:noWrap/>
            <w:vAlign w:val="bottom"/>
            <w:hideMark/>
          </w:tcPr>
          <w:p w14:paraId="5548B66C" w14:textId="77777777" w:rsidR="00953415" w:rsidRPr="00D51EF4" w:rsidRDefault="00953415" w:rsidP="00711A13">
            <w:pPr>
              <w:jc w:val="center"/>
              <w:rPr>
                <w:rFonts w:ascii="Arial" w:hAnsi="Arial" w:cs="Arial"/>
                <w:b/>
                <w:bCs/>
                <w:sz w:val="20"/>
                <w:szCs w:val="20"/>
                <w:lang w:val="en-GB" w:eastAsia="en-US"/>
              </w:rPr>
            </w:pPr>
            <w:r w:rsidRPr="00D51EF4">
              <w:rPr>
                <w:rFonts w:ascii="Arial" w:hAnsi="Arial" w:cs="Arial"/>
                <w:b/>
                <w:bCs/>
                <w:sz w:val="20"/>
                <w:szCs w:val="20"/>
                <w:lang w:val="en-GB" w:eastAsia="en-US"/>
              </w:rPr>
              <w:t>Mean</w:t>
            </w:r>
          </w:p>
        </w:tc>
        <w:tc>
          <w:tcPr>
            <w:tcW w:w="1985" w:type="dxa"/>
            <w:tcBorders>
              <w:top w:val="single" w:sz="4" w:space="0" w:color="auto"/>
              <w:left w:val="nil"/>
              <w:bottom w:val="nil"/>
              <w:right w:val="nil"/>
            </w:tcBorders>
            <w:shd w:val="clear" w:color="000000" w:fill="C0C0C0"/>
            <w:noWrap/>
            <w:vAlign w:val="bottom"/>
            <w:hideMark/>
          </w:tcPr>
          <w:p w14:paraId="618B3742" w14:textId="12840D35" w:rsidR="00953415" w:rsidRPr="00D51EF4" w:rsidRDefault="00953415" w:rsidP="00711A13">
            <w:pPr>
              <w:jc w:val="center"/>
              <w:rPr>
                <w:rFonts w:ascii="Arial" w:hAnsi="Arial" w:cs="Arial"/>
                <w:b/>
                <w:bCs/>
                <w:sz w:val="20"/>
                <w:szCs w:val="20"/>
                <w:lang w:val="en-GB" w:eastAsia="en-US"/>
              </w:rPr>
            </w:pPr>
            <w:r w:rsidRPr="00D51EF4">
              <w:rPr>
                <w:rFonts w:ascii="Arial" w:hAnsi="Arial" w:cs="Arial"/>
                <w:b/>
                <w:bCs/>
                <w:sz w:val="20"/>
                <w:szCs w:val="20"/>
                <w:lang w:val="en-GB" w:eastAsia="en-US"/>
              </w:rPr>
              <w:t>St. Dev</w:t>
            </w:r>
            <w:r w:rsidR="00F276D3" w:rsidRPr="00D51EF4">
              <w:rPr>
                <w:rFonts w:ascii="Arial" w:hAnsi="Arial" w:cs="Arial"/>
                <w:b/>
                <w:bCs/>
                <w:sz w:val="20"/>
                <w:szCs w:val="20"/>
                <w:lang w:val="en-GB" w:eastAsia="en-US"/>
              </w:rPr>
              <w:t>.</w:t>
            </w:r>
          </w:p>
        </w:tc>
        <w:tc>
          <w:tcPr>
            <w:tcW w:w="947" w:type="dxa"/>
            <w:tcBorders>
              <w:top w:val="single" w:sz="4" w:space="0" w:color="auto"/>
              <w:left w:val="nil"/>
              <w:bottom w:val="nil"/>
              <w:right w:val="nil"/>
            </w:tcBorders>
            <w:shd w:val="clear" w:color="auto" w:fill="auto"/>
            <w:noWrap/>
            <w:vAlign w:val="bottom"/>
            <w:hideMark/>
          </w:tcPr>
          <w:p w14:paraId="34D3B9A4" w14:textId="77777777" w:rsidR="00953415" w:rsidRPr="00D51EF4" w:rsidRDefault="00953415" w:rsidP="00711A13">
            <w:pPr>
              <w:jc w:val="center"/>
              <w:rPr>
                <w:rFonts w:ascii="Arial" w:hAnsi="Arial" w:cs="Arial"/>
                <w:b/>
                <w:bCs/>
                <w:sz w:val="20"/>
                <w:szCs w:val="20"/>
                <w:lang w:val="en-GB" w:eastAsia="en-US"/>
              </w:rPr>
            </w:pPr>
            <w:r w:rsidRPr="00D51EF4">
              <w:rPr>
                <w:rFonts w:ascii="Arial" w:hAnsi="Arial" w:cs="Arial"/>
                <w:b/>
                <w:bCs/>
                <w:sz w:val="20"/>
                <w:szCs w:val="20"/>
                <w:lang w:val="en-GB" w:eastAsia="en-US"/>
              </w:rPr>
              <w:t>n</w:t>
            </w:r>
          </w:p>
        </w:tc>
        <w:tc>
          <w:tcPr>
            <w:tcW w:w="470" w:type="dxa"/>
            <w:tcBorders>
              <w:top w:val="nil"/>
              <w:left w:val="nil"/>
              <w:bottom w:val="nil"/>
              <w:right w:val="nil"/>
            </w:tcBorders>
          </w:tcPr>
          <w:p w14:paraId="39859A2D" w14:textId="77777777" w:rsidR="00953415" w:rsidRPr="00D51EF4" w:rsidRDefault="00953415" w:rsidP="00711A13">
            <w:pPr>
              <w:jc w:val="center"/>
              <w:rPr>
                <w:rFonts w:ascii="Arial" w:hAnsi="Arial" w:cs="Arial"/>
                <w:b/>
                <w:bCs/>
                <w:sz w:val="20"/>
                <w:szCs w:val="20"/>
                <w:lang w:val="en-GB" w:eastAsia="en-US"/>
              </w:rPr>
            </w:pPr>
          </w:p>
        </w:tc>
        <w:tc>
          <w:tcPr>
            <w:tcW w:w="1630" w:type="dxa"/>
            <w:tcBorders>
              <w:top w:val="nil"/>
              <w:left w:val="nil"/>
              <w:bottom w:val="nil"/>
              <w:right w:val="nil"/>
            </w:tcBorders>
            <w:shd w:val="clear" w:color="000000" w:fill="BFBFBF"/>
            <w:noWrap/>
            <w:vAlign w:val="bottom"/>
            <w:hideMark/>
          </w:tcPr>
          <w:p w14:paraId="557882C5" w14:textId="77777777" w:rsidR="00953415" w:rsidRPr="00D51EF4" w:rsidRDefault="00953415" w:rsidP="00711A13">
            <w:pPr>
              <w:jc w:val="center"/>
              <w:rPr>
                <w:rFonts w:ascii="Arial" w:hAnsi="Arial" w:cs="Arial"/>
                <w:b/>
                <w:bCs/>
                <w:sz w:val="20"/>
                <w:szCs w:val="20"/>
                <w:lang w:val="en-GB" w:eastAsia="en-US"/>
              </w:rPr>
            </w:pPr>
            <w:r w:rsidRPr="00D51EF4">
              <w:rPr>
                <w:rFonts w:ascii="Arial" w:hAnsi="Arial" w:cs="Arial"/>
                <w:b/>
                <w:bCs/>
                <w:sz w:val="20"/>
                <w:szCs w:val="20"/>
                <w:lang w:val="en-GB" w:eastAsia="en-US"/>
              </w:rPr>
              <w:t>Small profits</w:t>
            </w:r>
          </w:p>
        </w:tc>
        <w:tc>
          <w:tcPr>
            <w:tcW w:w="1631" w:type="dxa"/>
            <w:tcBorders>
              <w:top w:val="nil"/>
              <w:left w:val="nil"/>
              <w:bottom w:val="nil"/>
              <w:right w:val="nil"/>
            </w:tcBorders>
            <w:shd w:val="clear" w:color="000000" w:fill="BFBFBF"/>
            <w:noWrap/>
            <w:vAlign w:val="bottom"/>
            <w:hideMark/>
          </w:tcPr>
          <w:p w14:paraId="0B3D91EB" w14:textId="77777777" w:rsidR="00953415" w:rsidRPr="00D51EF4" w:rsidRDefault="00953415" w:rsidP="00711A13">
            <w:pPr>
              <w:jc w:val="center"/>
              <w:rPr>
                <w:rFonts w:ascii="Arial" w:hAnsi="Arial" w:cs="Arial"/>
                <w:b/>
                <w:bCs/>
                <w:sz w:val="20"/>
                <w:szCs w:val="20"/>
                <w:lang w:val="en-GB" w:eastAsia="en-US"/>
              </w:rPr>
            </w:pPr>
            <w:r w:rsidRPr="00D51EF4">
              <w:rPr>
                <w:rFonts w:ascii="Arial" w:hAnsi="Arial" w:cs="Arial"/>
                <w:b/>
                <w:bCs/>
                <w:sz w:val="20"/>
                <w:szCs w:val="20"/>
                <w:lang w:val="en-GB" w:eastAsia="en-US"/>
              </w:rPr>
              <w:t>Large losses</w:t>
            </w:r>
          </w:p>
        </w:tc>
      </w:tr>
      <w:tr w:rsidR="00953415" w:rsidRPr="00D51EF4" w14:paraId="09E41CEB" w14:textId="77777777" w:rsidTr="00953415">
        <w:trPr>
          <w:trHeight w:val="300"/>
        </w:trPr>
        <w:tc>
          <w:tcPr>
            <w:tcW w:w="2992" w:type="dxa"/>
            <w:tcBorders>
              <w:top w:val="nil"/>
              <w:left w:val="nil"/>
              <w:bottom w:val="nil"/>
              <w:right w:val="nil"/>
            </w:tcBorders>
            <w:shd w:val="clear" w:color="auto" w:fill="auto"/>
            <w:noWrap/>
            <w:vAlign w:val="bottom"/>
            <w:hideMark/>
          </w:tcPr>
          <w:p w14:paraId="0C8A6A78" w14:textId="77777777" w:rsidR="00953415" w:rsidRPr="00D51EF4" w:rsidRDefault="00953415" w:rsidP="00711A13">
            <w:pPr>
              <w:rPr>
                <w:rFonts w:ascii="Arial" w:hAnsi="Arial" w:cs="Arial"/>
                <w:b/>
                <w:bCs/>
                <w:sz w:val="20"/>
                <w:szCs w:val="20"/>
                <w:lang w:val="en-GB" w:eastAsia="en-US"/>
              </w:rPr>
            </w:pPr>
          </w:p>
        </w:tc>
        <w:tc>
          <w:tcPr>
            <w:tcW w:w="992" w:type="dxa"/>
            <w:tcBorders>
              <w:top w:val="nil"/>
              <w:left w:val="nil"/>
              <w:bottom w:val="nil"/>
              <w:right w:val="nil"/>
            </w:tcBorders>
            <w:shd w:val="clear" w:color="auto" w:fill="auto"/>
            <w:noWrap/>
            <w:vAlign w:val="bottom"/>
            <w:hideMark/>
          </w:tcPr>
          <w:p w14:paraId="3523265B" w14:textId="77777777" w:rsidR="00953415" w:rsidRPr="00D51EF4" w:rsidRDefault="00953415" w:rsidP="00711A13">
            <w:pPr>
              <w:jc w:val="center"/>
              <w:rPr>
                <w:rFonts w:ascii="Calibri" w:hAnsi="Calibri" w:cs="Calibri"/>
                <w:color w:val="000000"/>
                <w:lang w:val="en-GB" w:eastAsia="en-US"/>
              </w:rPr>
            </w:pPr>
          </w:p>
        </w:tc>
        <w:tc>
          <w:tcPr>
            <w:tcW w:w="1985" w:type="dxa"/>
            <w:tcBorders>
              <w:top w:val="nil"/>
              <w:left w:val="nil"/>
              <w:bottom w:val="nil"/>
              <w:right w:val="nil"/>
            </w:tcBorders>
            <w:shd w:val="clear" w:color="000000" w:fill="C0C0C0"/>
            <w:noWrap/>
            <w:vAlign w:val="bottom"/>
            <w:hideMark/>
          </w:tcPr>
          <w:p w14:paraId="208343B5" w14:textId="77777777" w:rsidR="00953415" w:rsidRPr="00D51EF4" w:rsidRDefault="00953415" w:rsidP="00711A13">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 </w:t>
            </w:r>
          </w:p>
        </w:tc>
        <w:tc>
          <w:tcPr>
            <w:tcW w:w="947" w:type="dxa"/>
            <w:tcBorders>
              <w:top w:val="nil"/>
              <w:left w:val="nil"/>
              <w:bottom w:val="nil"/>
              <w:right w:val="nil"/>
            </w:tcBorders>
            <w:shd w:val="clear" w:color="auto" w:fill="auto"/>
            <w:noWrap/>
            <w:vAlign w:val="bottom"/>
            <w:hideMark/>
          </w:tcPr>
          <w:p w14:paraId="66C937A4" w14:textId="77777777" w:rsidR="00953415" w:rsidRPr="00D51EF4" w:rsidRDefault="00953415" w:rsidP="00711A13">
            <w:pPr>
              <w:jc w:val="center"/>
              <w:rPr>
                <w:rFonts w:ascii="Calibri" w:hAnsi="Calibri" w:cs="Calibri"/>
                <w:color w:val="000000"/>
                <w:lang w:val="en-GB" w:eastAsia="en-US"/>
              </w:rPr>
            </w:pPr>
          </w:p>
        </w:tc>
        <w:tc>
          <w:tcPr>
            <w:tcW w:w="470" w:type="dxa"/>
            <w:tcBorders>
              <w:top w:val="nil"/>
              <w:left w:val="nil"/>
              <w:bottom w:val="nil"/>
              <w:right w:val="nil"/>
            </w:tcBorders>
          </w:tcPr>
          <w:p w14:paraId="506873F5" w14:textId="77777777" w:rsidR="00953415" w:rsidRPr="00D51EF4" w:rsidRDefault="00953415" w:rsidP="00711A13">
            <w:pPr>
              <w:jc w:val="center"/>
              <w:rPr>
                <w:rFonts w:ascii="Calibri" w:hAnsi="Calibri" w:cs="Calibri"/>
                <w:color w:val="000000"/>
                <w:sz w:val="22"/>
                <w:szCs w:val="22"/>
                <w:lang w:val="en-GB" w:eastAsia="en-US"/>
              </w:rPr>
            </w:pPr>
          </w:p>
        </w:tc>
        <w:tc>
          <w:tcPr>
            <w:tcW w:w="1630" w:type="dxa"/>
            <w:tcBorders>
              <w:top w:val="nil"/>
              <w:left w:val="nil"/>
              <w:bottom w:val="nil"/>
              <w:right w:val="nil"/>
            </w:tcBorders>
            <w:shd w:val="clear" w:color="000000" w:fill="BFBFBF"/>
            <w:noWrap/>
            <w:vAlign w:val="bottom"/>
            <w:hideMark/>
          </w:tcPr>
          <w:p w14:paraId="52354EA0" w14:textId="77777777" w:rsidR="00953415" w:rsidRPr="00D51EF4" w:rsidRDefault="00953415" w:rsidP="00711A13">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 </w:t>
            </w:r>
          </w:p>
        </w:tc>
        <w:tc>
          <w:tcPr>
            <w:tcW w:w="1631" w:type="dxa"/>
            <w:tcBorders>
              <w:top w:val="nil"/>
              <w:left w:val="nil"/>
              <w:bottom w:val="nil"/>
              <w:right w:val="nil"/>
            </w:tcBorders>
            <w:shd w:val="clear" w:color="000000" w:fill="BFBFBF"/>
            <w:noWrap/>
            <w:vAlign w:val="bottom"/>
            <w:hideMark/>
          </w:tcPr>
          <w:p w14:paraId="62163B0C" w14:textId="77777777" w:rsidR="00953415" w:rsidRPr="00D51EF4" w:rsidRDefault="00953415" w:rsidP="00711A13">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 </w:t>
            </w:r>
          </w:p>
        </w:tc>
      </w:tr>
      <w:tr w:rsidR="00953415" w:rsidRPr="00D51EF4" w14:paraId="717AADAD" w14:textId="77777777" w:rsidTr="00953415">
        <w:trPr>
          <w:trHeight w:val="300"/>
        </w:trPr>
        <w:tc>
          <w:tcPr>
            <w:tcW w:w="2992" w:type="dxa"/>
            <w:tcBorders>
              <w:top w:val="nil"/>
              <w:left w:val="nil"/>
              <w:bottom w:val="nil"/>
              <w:right w:val="nil"/>
            </w:tcBorders>
            <w:shd w:val="clear" w:color="auto" w:fill="auto"/>
            <w:noWrap/>
            <w:vAlign w:val="bottom"/>
            <w:hideMark/>
          </w:tcPr>
          <w:p w14:paraId="0F3629E2" w14:textId="77777777" w:rsidR="00953415" w:rsidRPr="00D51EF4" w:rsidRDefault="00953415" w:rsidP="00711A13">
            <w:pPr>
              <w:rPr>
                <w:rFonts w:ascii="Arial" w:hAnsi="Arial" w:cs="Arial"/>
                <w:b/>
                <w:bCs/>
                <w:sz w:val="20"/>
                <w:szCs w:val="20"/>
                <w:lang w:val="en-GB" w:eastAsia="en-US"/>
              </w:rPr>
            </w:pPr>
            <w:r w:rsidRPr="00D51EF4">
              <w:rPr>
                <w:rFonts w:ascii="Arial" w:hAnsi="Arial" w:cs="Arial"/>
                <w:b/>
                <w:bCs/>
                <w:sz w:val="20"/>
                <w:szCs w:val="20"/>
                <w:lang w:val="en-GB" w:eastAsia="en-US"/>
              </w:rPr>
              <w:t>For-profit MFIs</w:t>
            </w:r>
          </w:p>
        </w:tc>
        <w:tc>
          <w:tcPr>
            <w:tcW w:w="992" w:type="dxa"/>
            <w:tcBorders>
              <w:top w:val="nil"/>
              <w:left w:val="nil"/>
              <w:bottom w:val="nil"/>
              <w:right w:val="nil"/>
            </w:tcBorders>
            <w:shd w:val="clear" w:color="auto" w:fill="auto"/>
            <w:noWrap/>
            <w:vAlign w:val="bottom"/>
            <w:hideMark/>
          </w:tcPr>
          <w:p w14:paraId="2BF173A8" w14:textId="77777777" w:rsidR="00953415" w:rsidRPr="00D51EF4" w:rsidRDefault="00953415" w:rsidP="00711A13">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0.022</w:t>
            </w:r>
          </w:p>
        </w:tc>
        <w:tc>
          <w:tcPr>
            <w:tcW w:w="1985" w:type="dxa"/>
            <w:tcBorders>
              <w:top w:val="nil"/>
              <w:left w:val="nil"/>
              <w:bottom w:val="nil"/>
              <w:right w:val="nil"/>
            </w:tcBorders>
            <w:shd w:val="clear" w:color="000000" w:fill="C0C0C0"/>
            <w:noWrap/>
            <w:vAlign w:val="bottom"/>
            <w:hideMark/>
          </w:tcPr>
          <w:p w14:paraId="68EEC27B" w14:textId="77777777" w:rsidR="00953415" w:rsidRPr="00D51EF4" w:rsidRDefault="00953415" w:rsidP="00711A13">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0.067</w:t>
            </w:r>
          </w:p>
        </w:tc>
        <w:tc>
          <w:tcPr>
            <w:tcW w:w="947" w:type="dxa"/>
            <w:tcBorders>
              <w:top w:val="nil"/>
              <w:left w:val="nil"/>
              <w:bottom w:val="nil"/>
              <w:right w:val="nil"/>
            </w:tcBorders>
            <w:shd w:val="clear" w:color="auto" w:fill="auto"/>
            <w:noWrap/>
            <w:vAlign w:val="bottom"/>
            <w:hideMark/>
          </w:tcPr>
          <w:p w14:paraId="2AA7C958" w14:textId="77777777" w:rsidR="00953415" w:rsidRPr="00D51EF4" w:rsidRDefault="00953415" w:rsidP="00711A13">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392</w:t>
            </w:r>
          </w:p>
        </w:tc>
        <w:tc>
          <w:tcPr>
            <w:tcW w:w="470" w:type="dxa"/>
            <w:tcBorders>
              <w:top w:val="nil"/>
              <w:left w:val="nil"/>
              <w:bottom w:val="nil"/>
              <w:right w:val="nil"/>
            </w:tcBorders>
          </w:tcPr>
          <w:p w14:paraId="01E3F496" w14:textId="77777777" w:rsidR="00953415" w:rsidRPr="00D51EF4" w:rsidRDefault="00953415" w:rsidP="00711A13">
            <w:pPr>
              <w:jc w:val="center"/>
              <w:rPr>
                <w:rFonts w:ascii="Calibri" w:hAnsi="Calibri" w:cs="Calibri"/>
                <w:color w:val="000000"/>
                <w:sz w:val="22"/>
                <w:szCs w:val="22"/>
                <w:lang w:val="en-GB" w:eastAsia="en-US"/>
              </w:rPr>
            </w:pPr>
          </w:p>
        </w:tc>
        <w:tc>
          <w:tcPr>
            <w:tcW w:w="1630" w:type="dxa"/>
            <w:tcBorders>
              <w:top w:val="nil"/>
              <w:left w:val="nil"/>
              <w:bottom w:val="nil"/>
              <w:right w:val="nil"/>
            </w:tcBorders>
            <w:shd w:val="clear" w:color="000000" w:fill="BFBFBF"/>
            <w:noWrap/>
            <w:vAlign w:val="bottom"/>
            <w:hideMark/>
          </w:tcPr>
          <w:p w14:paraId="212ADA23" w14:textId="77777777" w:rsidR="00953415" w:rsidRPr="00D51EF4" w:rsidRDefault="00953415" w:rsidP="00711A13">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11.5 %</w:t>
            </w:r>
          </w:p>
        </w:tc>
        <w:tc>
          <w:tcPr>
            <w:tcW w:w="1631" w:type="dxa"/>
            <w:tcBorders>
              <w:top w:val="nil"/>
              <w:left w:val="nil"/>
              <w:bottom w:val="nil"/>
              <w:right w:val="nil"/>
            </w:tcBorders>
            <w:shd w:val="clear" w:color="000000" w:fill="BFBFBF"/>
            <w:noWrap/>
            <w:vAlign w:val="bottom"/>
            <w:hideMark/>
          </w:tcPr>
          <w:p w14:paraId="03FF3AAD" w14:textId="77777777" w:rsidR="00953415" w:rsidRPr="00D51EF4" w:rsidRDefault="00953415" w:rsidP="00711A13">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5.4 %</w:t>
            </w:r>
          </w:p>
        </w:tc>
      </w:tr>
      <w:tr w:rsidR="00953415" w:rsidRPr="00D51EF4" w14:paraId="08944A1A" w14:textId="77777777" w:rsidTr="00953415">
        <w:trPr>
          <w:trHeight w:val="300"/>
        </w:trPr>
        <w:tc>
          <w:tcPr>
            <w:tcW w:w="2992" w:type="dxa"/>
            <w:tcBorders>
              <w:top w:val="nil"/>
              <w:left w:val="nil"/>
              <w:bottom w:val="nil"/>
              <w:right w:val="nil"/>
            </w:tcBorders>
            <w:shd w:val="clear" w:color="auto" w:fill="auto"/>
            <w:noWrap/>
            <w:vAlign w:val="bottom"/>
            <w:hideMark/>
          </w:tcPr>
          <w:p w14:paraId="0A65B3D9" w14:textId="77777777" w:rsidR="00953415" w:rsidRPr="00D51EF4" w:rsidRDefault="00953415" w:rsidP="00711A13">
            <w:pPr>
              <w:rPr>
                <w:rFonts w:ascii="Arial" w:hAnsi="Arial" w:cs="Arial"/>
                <w:b/>
                <w:bCs/>
                <w:sz w:val="20"/>
                <w:szCs w:val="20"/>
                <w:lang w:val="en-GB" w:eastAsia="en-US"/>
              </w:rPr>
            </w:pPr>
          </w:p>
        </w:tc>
        <w:tc>
          <w:tcPr>
            <w:tcW w:w="992" w:type="dxa"/>
            <w:tcBorders>
              <w:top w:val="nil"/>
              <w:left w:val="nil"/>
              <w:bottom w:val="nil"/>
              <w:right w:val="nil"/>
            </w:tcBorders>
            <w:shd w:val="clear" w:color="auto" w:fill="auto"/>
            <w:noWrap/>
            <w:vAlign w:val="bottom"/>
            <w:hideMark/>
          </w:tcPr>
          <w:p w14:paraId="7AB131D1" w14:textId="77777777" w:rsidR="00953415" w:rsidRPr="00D51EF4" w:rsidRDefault="00953415" w:rsidP="00711A13">
            <w:pPr>
              <w:jc w:val="center"/>
              <w:rPr>
                <w:rFonts w:ascii="Calibri" w:hAnsi="Calibri" w:cs="Calibri"/>
                <w:color w:val="000000"/>
                <w:lang w:val="en-GB" w:eastAsia="en-US"/>
              </w:rPr>
            </w:pPr>
          </w:p>
        </w:tc>
        <w:tc>
          <w:tcPr>
            <w:tcW w:w="1985" w:type="dxa"/>
            <w:tcBorders>
              <w:top w:val="nil"/>
              <w:left w:val="nil"/>
              <w:bottom w:val="nil"/>
              <w:right w:val="nil"/>
            </w:tcBorders>
            <w:shd w:val="clear" w:color="000000" w:fill="C0C0C0"/>
            <w:noWrap/>
            <w:vAlign w:val="bottom"/>
            <w:hideMark/>
          </w:tcPr>
          <w:p w14:paraId="7AD122A5" w14:textId="77777777" w:rsidR="00953415" w:rsidRPr="00D51EF4" w:rsidRDefault="00953415" w:rsidP="00711A13">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 </w:t>
            </w:r>
          </w:p>
        </w:tc>
        <w:tc>
          <w:tcPr>
            <w:tcW w:w="947" w:type="dxa"/>
            <w:tcBorders>
              <w:top w:val="nil"/>
              <w:left w:val="nil"/>
              <w:bottom w:val="nil"/>
              <w:right w:val="nil"/>
            </w:tcBorders>
            <w:shd w:val="clear" w:color="auto" w:fill="auto"/>
            <w:noWrap/>
            <w:vAlign w:val="bottom"/>
            <w:hideMark/>
          </w:tcPr>
          <w:p w14:paraId="442B20BB" w14:textId="77777777" w:rsidR="00953415" w:rsidRPr="00D51EF4" w:rsidRDefault="00953415" w:rsidP="00711A13">
            <w:pPr>
              <w:jc w:val="center"/>
              <w:rPr>
                <w:rFonts w:ascii="Calibri" w:hAnsi="Calibri" w:cs="Calibri"/>
                <w:color w:val="000000"/>
                <w:lang w:val="en-GB" w:eastAsia="en-US"/>
              </w:rPr>
            </w:pPr>
          </w:p>
        </w:tc>
        <w:tc>
          <w:tcPr>
            <w:tcW w:w="470" w:type="dxa"/>
            <w:tcBorders>
              <w:top w:val="nil"/>
              <w:left w:val="nil"/>
              <w:bottom w:val="nil"/>
              <w:right w:val="nil"/>
            </w:tcBorders>
          </w:tcPr>
          <w:p w14:paraId="45938B76" w14:textId="77777777" w:rsidR="00953415" w:rsidRPr="00D51EF4" w:rsidRDefault="00953415" w:rsidP="00711A13">
            <w:pPr>
              <w:jc w:val="center"/>
              <w:rPr>
                <w:rFonts w:ascii="Calibri" w:hAnsi="Calibri" w:cs="Calibri"/>
                <w:color w:val="000000"/>
                <w:sz w:val="22"/>
                <w:szCs w:val="22"/>
                <w:lang w:val="en-GB" w:eastAsia="en-US"/>
              </w:rPr>
            </w:pPr>
          </w:p>
        </w:tc>
        <w:tc>
          <w:tcPr>
            <w:tcW w:w="1630" w:type="dxa"/>
            <w:tcBorders>
              <w:top w:val="nil"/>
              <w:left w:val="nil"/>
              <w:bottom w:val="nil"/>
              <w:right w:val="nil"/>
            </w:tcBorders>
            <w:shd w:val="clear" w:color="000000" w:fill="C0C0C0"/>
            <w:noWrap/>
            <w:vAlign w:val="bottom"/>
            <w:hideMark/>
          </w:tcPr>
          <w:p w14:paraId="485A0C6D" w14:textId="77777777" w:rsidR="00953415" w:rsidRPr="00D51EF4" w:rsidRDefault="00953415" w:rsidP="00711A13">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 </w:t>
            </w:r>
          </w:p>
        </w:tc>
        <w:tc>
          <w:tcPr>
            <w:tcW w:w="1631" w:type="dxa"/>
            <w:tcBorders>
              <w:top w:val="nil"/>
              <w:left w:val="nil"/>
              <w:bottom w:val="nil"/>
              <w:right w:val="nil"/>
            </w:tcBorders>
            <w:shd w:val="clear" w:color="000000" w:fill="C0C0C0"/>
            <w:noWrap/>
            <w:vAlign w:val="bottom"/>
            <w:hideMark/>
          </w:tcPr>
          <w:p w14:paraId="419B9447" w14:textId="77777777" w:rsidR="00953415" w:rsidRPr="00D51EF4" w:rsidRDefault="00953415" w:rsidP="00711A13">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 </w:t>
            </w:r>
          </w:p>
        </w:tc>
      </w:tr>
      <w:tr w:rsidR="00953415" w:rsidRPr="00D51EF4" w14:paraId="1AFC2A8A" w14:textId="77777777" w:rsidTr="00953415">
        <w:trPr>
          <w:trHeight w:val="300"/>
        </w:trPr>
        <w:tc>
          <w:tcPr>
            <w:tcW w:w="2992" w:type="dxa"/>
            <w:tcBorders>
              <w:top w:val="nil"/>
              <w:left w:val="nil"/>
              <w:bottom w:val="nil"/>
              <w:right w:val="nil"/>
            </w:tcBorders>
            <w:shd w:val="clear" w:color="auto" w:fill="auto"/>
            <w:noWrap/>
            <w:vAlign w:val="bottom"/>
            <w:hideMark/>
          </w:tcPr>
          <w:p w14:paraId="3BEB86E9" w14:textId="3475A3E3" w:rsidR="00953415" w:rsidRPr="00D51EF4" w:rsidRDefault="007E28B9" w:rsidP="00711A13">
            <w:pPr>
              <w:rPr>
                <w:rFonts w:ascii="Arial" w:hAnsi="Arial" w:cs="Arial"/>
                <w:b/>
                <w:bCs/>
                <w:sz w:val="20"/>
                <w:szCs w:val="20"/>
                <w:lang w:val="en-GB" w:eastAsia="en-US"/>
              </w:rPr>
            </w:pPr>
            <w:proofErr w:type="spellStart"/>
            <w:r>
              <w:rPr>
                <w:rFonts w:ascii="Arial" w:hAnsi="Arial" w:cs="Arial"/>
                <w:b/>
                <w:bCs/>
                <w:sz w:val="20"/>
                <w:szCs w:val="20"/>
                <w:lang w:val="en-GB" w:eastAsia="en-US"/>
              </w:rPr>
              <w:t>Non</w:t>
            </w:r>
            <w:r w:rsidR="00953415" w:rsidRPr="00D51EF4">
              <w:rPr>
                <w:rFonts w:ascii="Arial" w:hAnsi="Arial" w:cs="Arial"/>
                <w:b/>
                <w:bCs/>
                <w:sz w:val="20"/>
                <w:szCs w:val="20"/>
                <w:lang w:val="en-GB" w:eastAsia="en-US"/>
              </w:rPr>
              <w:t>profit</w:t>
            </w:r>
            <w:proofErr w:type="spellEnd"/>
            <w:r w:rsidR="00953415" w:rsidRPr="00D51EF4">
              <w:rPr>
                <w:rFonts w:ascii="Arial" w:hAnsi="Arial" w:cs="Arial"/>
                <w:b/>
                <w:bCs/>
                <w:sz w:val="20"/>
                <w:szCs w:val="20"/>
                <w:lang w:val="en-GB" w:eastAsia="en-US"/>
              </w:rPr>
              <w:t xml:space="preserve"> MFIs</w:t>
            </w:r>
          </w:p>
        </w:tc>
        <w:tc>
          <w:tcPr>
            <w:tcW w:w="992" w:type="dxa"/>
            <w:tcBorders>
              <w:top w:val="nil"/>
              <w:left w:val="nil"/>
              <w:bottom w:val="nil"/>
              <w:right w:val="nil"/>
            </w:tcBorders>
            <w:shd w:val="clear" w:color="auto" w:fill="auto"/>
            <w:noWrap/>
            <w:vAlign w:val="bottom"/>
            <w:hideMark/>
          </w:tcPr>
          <w:p w14:paraId="55A36CB7" w14:textId="77777777" w:rsidR="00953415" w:rsidRPr="00D51EF4" w:rsidRDefault="00953415" w:rsidP="00711A13">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0.019</w:t>
            </w:r>
          </w:p>
        </w:tc>
        <w:tc>
          <w:tcPr>
            <w:tcW w:w="1985" w:type="dxa"/>
            <w:tcBorders>
              <w:top w:val="nil"/>
              <w:left w:val="nil"/>
              <w:bottom w:val="nil"/>
              <w:right w:val="nil"/>
            </w:tcBorders>
            <w:shd w:val="clear" w:color="000000" w:fill="C0C0C0"/>
            <w:noWrap/>
            <w:vAlign w:val="bottom"/>
            <w:hideMark/>
          </w:tcPr>
          <w:p w14:paraId="798E7AAC" w14:textId="77777777" w:rsidR="00953415" w:rsidRPr="00D51EF4" w:rsidRDefault="00953415" w:rsidP="00711A13">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0.096</w:t>
            </w:r>
          </w:p>
        </w:tc>
        <w:tc>
          <w:tcPr>
            <w:tcW w:w="947" w:type="dxa"/>
            <w:tcBorders>
              <w:top w:val="nil"/>
              <w:left w:val="nil"/>
              <w:bottom w:val="nil"/>
              <w:right w:val="nil"/>
            </w:tcBorders>
            <w:shd w:val="clear" w:color="auto" w:fill="auto"/>
            <w:noWrap/>
            <w:vAlign w:val="bottom"/>
            <w:hideMark/>
          </w:tcPr>
          <w:p w14:paraId="6A0522A6" w14:textId="77777777" w:rsidR="00953415" w:rsidRPr="00D51EF4" w:rsidRDefault="00953415" w:rsidP="00711A13">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742</w:t>
            </w:r>
          </w:p>
        </w:tc>
        <w:tc>
          <w:tcPr>
            <w:tcW w:w="470" w:type="dxa"/>
            <w:tcBorders>
              <w:top w:val="nil"/>
              <w:left w:val="nil"/>
              <w:bottom w:val="nil"/>
              <w:right w:val="nil"/>
            </w:tcBorders>
          </w:tcPr>
          <w:p w14:paraId="620F3868" w14:textId="77777777" w:rsidR="00953415" w:rsidRPr="00D51EF4" w:rsidRDefault="00953415" w:rsidP="00711A13">
            <w:pPr>
              <w:jc w:val="center"/>
              <w:rPr>
                <w:rFonts w:ascii="Calibri" w:hAnsi="Calibri" w:cs="Calibri"/>
                <w:color w:val="000000"/>
                <w:sz w:val="22"/>
                <w:szCs w:val="22"/>
                <w:lang w:val="en-GB" w:eastAsia="en-US"/>
              </w:rPr>
            </w:pPr>
          </w:p>
        </w:tc>
        <w:tc>
          <w:tcPr>
            <w:tcW w:w="1630" w:type="dxa"/>
            <w:tcBorders>
              <w:top w:val="nil"/>
              <w:left w:val="nil"/>
              <w:bottom w:val="nil"/>
              <w:right w:val="nil"/>
            </w:tcBorders>
            <w:shd w:val="clear" w:color="000000" w:fill="C0C0C0"/>
            <w:noWrap/>
            <w:vAlign w:val="bottom"/>
            <w:hideMark/>
          </w:tcPr>
          <w:p w14:paraId="7CF3E284" w14:textId="77777777" w:rsidR="00953415" w:rsidRPr="00D51EF4" w:rsidRDefault="00953415" w:rsidP="00711A13">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13.2 %</w:t>
            </w:r>
          </w:p>
        </w:tc>
        <w:tc>
          <w:tcPr>
            <w:tcW w:w="1631" w:type="dxa"/>
            <w:tcBorders>
              <w:top w:val="nil"/>
              <w:left w:val="nil"/>
              <w:bottom w:val="nil"/>
              <w:right w:val="nil"/>
            </w:tcBorders>
            <w:shd w:val="clear" w:color="000000" w:fill="C0C0C0"/>
            <w:noWrap/>
            <w:vAlign w:val="bottom"/>
            <w:hideMark/>
          </w:tcPr>
          <w:p w14:paraId="3345E202" w14:textId="77777777" w:rsidR="00953415" w:rsidRPr="00D51EF4" w:rsidRDefault="00953415" w:rsidP="00711A13">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4.6 %</w:t>
            </w:r>
          </w:p>
        </w:tc>
      </w:tr>
      <w:tr w:rsidR="00953415" w:rsidRPr="00D51EF4" w14:paraId="43E2CF0E" w14:textId="77777777" w:rsidTr="00953415">
        <w:trPr>
          <w:trHeight w:val="300"/>
        </w:trPr>
        <w:tc>
          <w:tcPr>
            <w:tcW w:w="2992" w:type="dxa"/>
            <w:tcBorders>
              <w:top w:val="nil"/>
              <w:left w:val="nil"/>
              <w:bottom w:val="nil"/>
              <w:right w:val="nil"/>
            </w:tcBorders>
            <w:shd w:val="clear" w:color="auto" w:fill="auto"/>
            <w:noWrap/>
            <w:vAlign w:val="bottom"/>
            <w:hideMark/>
          </w:tcPr>
          <w:p w14:paraId="56F8B25E" w14:textId="77777777" w:rsidR="00953415" w:rsidRPr="00D51EF4" w:rsidRDefault="00953415" w:rsidP="00711A13">
            <w:pPr>
              <w:rPr>
                <w:rFonts w:ascii="Arial" w:hAnsi="Arial" w:cs="Arial"/>
                <w:b/>
                <w:bCs/>
                <w:sz w:val="20"/>
                <w:szCs w:val="20"/>
                <w:lang w:val="en-GB" w:eastAsia="en-US"/>
              </w:rPr>
            </w:pPr>
          </w:p>
        </w:tc>
        <w:tc>
          <w:tcPr>
            <w:tcW w:w="992" w:type="dxa"/>
            <w:tcBorders>
              <w:top w:val="nil"/>
              <w:left w:val="nil"/>
              <w:bottom w:val="nil"/>
              <w:right w:val="nil"/>
            </w:tcBorders>
            <w:shd w:val="clear" w:color="auto" w:fill="auto"/>
            <w:noWrap/>
            <w:vAlign w:val="bottom"/>
            <w:hideMark/>
          </w:tcPr>
          <w:p w14:paraId="1DDFAFDE" w14:textId="77777777" w:rsidR="00953415" w:rsidRPr="00D51EF4" w:rsidRDefault="00953415" w:rsidP="00711A13">
            <w:pPr>
              <w:jc w:val="center"/>
              <w:rPr>
                <w:rFonts w:ascii="Calibri" w:hAnsi="Calibri" w:cs="Calibri"/>
                <w:color w:val="000000"/>
                <w:lang w:val="en-GB" w:eastAsia="en-US"/>
              </w:rPr>
            </w:pPr>
          </w:p>
        </w:tc>
        <w:tc>
          <w:tcPr>
            <w:tcW w:w="1985" w:type="dxa"/>
            <w:tcBorders>
              <w:top w:val="nil"/>
              <w:left w:val="nil"/>
              <w:bottom w:val="nil"/>
              <w:right w:val="nil"/>
            </w:tcBorders>
            <w:shd w:val="clear" w:color="000000" w:fill="C0C0C0"/>
            <w:noWrap/>
            <w:vAlign w:val="bottom"/>
            <w:hideMark/>
          </w:tcPr>
          <w:p w14:paraId="296AAAD2" w14:textId="77777777" w:rsidR="00953415" w:rsidRPr="00D51EF4" w:rsidRDefault="00953415" w:rsidP="00711A13">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 </w:t>
            </w:r>
          </w:p>
        </w:tc>
        <w:tc>
          <w:tcPr>
            <w:tcW w:w="947" w:type="dxa"/>
            <w:tcBorders>
              <w:top w:val="nil"/>
              <w:left w:val="nil"/>
              <w:bottom w:val="nil"/>
              <w:right w:val="nil"/>
            </w:tcBorders>
            <w:shd w:val="clear" w:color="auto" w:fill="auto"/>
            <w:noWrap/>
            <w:vAlign w:val="bottom"/>
            <w:hideMark/>
          </w:tcPr>
          <w:p w14:paraId="7C280597" w14:textId="77777777" w:rsidR="00953415" w:rsidRPr="00D51EF4" w:rsidRDefault="00953415" w:rsidP="00711A13">
            <w:pPr>
              <w:jc w:val="center"/>
              <w:rPr>
                <w:rFonts w:ascii="Calibri" w:hAnsi="Calibri" w:cs="Calibri"/>
                <w:color w:val="000000"/>
                <w:lang w:val="en-GB" w:eastAsia="en-US"/>
              </w:rPr>
            </w:pPr>
          </w:p>
        </w:tc>
        <w:tc>
          <w:tcPr>
            <w:tcW w:w="470" w:type="dxa"/>
            <w:tcBorders>
              <w:top w:val="nil"/>
              <w:left w:val="nil"/>
              <w:bottom w:val="nil"/>
              <w:right w:val="nil"/>
            </w:tcBorders>
          </w:tcPr>
          <w:p w14:paraId="266B60C0" w14:textId="77777777" w:rsidR="00953415" w:rsidRPr="00D51EF4" w:rsidRDefault="00953415" w:rsidP="00711A13">
            <w:pPr>
              <w:jc w:val="center"/>
              <w:rPr>
                <w:rFonts w:ascii="Calibri" w:hAnsi="Calibri" w:cs="Calibri"/>
                <w:color w:val="000000"/>
                <w:sz w:val="22"/>
                <w:szCs w:val="22"/>
                <w:lang w:val="en-GB" w:eastAsia="en-US"/>
              </w:rPr>
            </w:pPr>
          </w:p>
        </w:tc>
        <w:tc>
          <w:tcPr>
            <w:tcW w:w="1630" w:type="dxa"/>
            <w:tcBorders>
              <w:top w:val="nil"/>
              <w:left w:val="nil"/>
              <w:bottom w:val="nil"/>
              <w:right w:val="nil"/>
            </w:tcBorders>
            <w:shd w:val="clear" w:color="000000" w:fill="C0C0C0"/>
            <w:noWrap/>
            <w:vAlign w:val="bottom"/>
            <w:hideMark/>
          </w:tcPr>
          <w:p w14:paraId="006B7900" w14:textId="77777777" w:rsidR="00953415" w:rsidRPr="00D51EF4" w:rsidRDefault="00953415" w:rsidP="00711A13">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 </w:t>
            </w:r>
          </w:p>
        </w:tc>
        <w:tc>
          <w:tcPr>
            <w:tcW w:w="1631" w:type="dxa"/>
            <w:tcBorders>
              <w:top w:val="nil"/>
              <w:left w:val="nil"/>
              <w:bottom w:val="nil"/>
              <w:right w:val="nil"/>
            </w:tcBorders>
            <w:shd w:val="clear" w:color="000000" w:fill="C0C0C0"/>
            <w:noWrap/>
            <w:vAlign w:val="bottom"/>
            <w:hideMark/>
          </w:tcPr>
          <w:p w14:paraId="360DA0E9" w14:textId="77777777" w:rsidR="00953415" w:rsidRPr="00D51EF4" w:rsidRDefault="00953415" w:rsidP="00711A13">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 </w:t>
            </w:r>
          </w:p>
        </w:tc>
      </w:tr>
      <w:tr w:rsidR="00953415" w:rsidRPr="00D51EF4" w14:paraId="2836B58B" w14:textId="77777777" w:rsidTr="00953415">
        <w:trPr>
          <w:trHeight w:val="300"/>
        </w:trPr>
        <w:tc>
          <w:tcPr>
            <w:tcW w:w="2992" w:type="dxa"/>
            <w:tcBorders>
              <w:top w:val="nil"/>
              <w:left w:val="nil"/>
              <w:bottom w:val="nil"/>
              <w:right w:val="nil"/>
            </w:tcBorders>
            <w:shd w:val="clear" w:color="auto" w:fill="auto"/>
            <w:noWrap/>
            <w:vAlign w:val="bottom"/>
            <w:hideMark/>
          </w:tcPr>
          <w:p w14:paraId="6F2E2B2B" w14:textId="41D0F28A" w:rsidR="00953415" w:rsidRPr="00D51EF4" w:rsidRDefault="005329F6" w:rsidP="00711A13">
            <w:pPr>
              <w:rPr>
                <w:rFonts w:ascii="Arial" w:hAnsi="Arial" w:cs="Arial"/>
                <w:b/>
                <w:bCs/>
                <w:i/>
                <w:iCs/>
                <w:sz w:val="20"/>
                <w:szCs w:val="20"/>
                <w:lang w:val="en-GB" w:eastAsia="en-US"/>
              </w:rPr>
            </w:pPr>
            <w:r w:rsidRPr="00D51EF4">
              <w:rPr>
                <w:rFonts w:ascii="Arial" w:hAnsi="Arial" w:cs="Arial"/>
                <w:b/>
                <w:bCs/>
                <w:i/>
                <w:iCs/>
                <w:sz w:val="20"/>
                <w:szCs w:val="20"/>
                <w:lang w:val="en-GB" w:eastAsia="en-US"/>
              </w:rPr>
              <w:t xml:space="preserve">P-value of </w:t>
            </w:r>
            <w:r w:rsidR="00F276D3" w:rsidRPr="00D51EF4">
              <w:rPr>
                <w:rFonts w:ascii="Arial" w:hAnsi="Arial" w:cs="Arial"/>
                <w:b/>
                <w:bCs/>
                <w:i/>
                <w:iCs/>
                <w:sz w:val="20"/>
                <w:szCs w:val="20"/>
                <w:lang w:val="en-GB" w:eastAsia="en-US"/>
              </w:rPr>
              <w:t xml:space="preserve">the </w:t>
            </w:r>
            <w:r w:rsidRPr="00D51EF4">
              <w:rPr>
                <w:rFonts w:ascii="Arial" w:hAnsi="Arial" w:cs="Arial"/>
                <w:b/>
                <w:bCs/>
                <w:i/>
                <w:iCs/>
                <w:sz w:val="20"/>
                <w:szCs w:val="20"/>
                <w:lang w:val="en-GB" w:eastAsia="en-US"/>
              </w:rPr>
              <w:t>difference</w:t>
            </w:r>
          </w:p>
        </w:tc>
        <w:tc>
          <w:tcPr>
            <w:tcW w:w="992" w:type="dxa"/>
            <w:tcBorders>
              <w:top w:val="nil"/>
              <w:left w:val="nil"/>
              <w:bottom w:val="nil"/>
              <w:right w:val="nil"/>
            </w:tcBorders>
            <w:shd w:val="clear" w:color="auto" w:fill="auto"/>
            <w:noWrap/>
            <w:vAlign w:val="bottom"/>
            <w:hideMark/>
          </w:tcPr>
          <w:p w14:paraId="593AFDB7" w14:textId="77777777" w:rsidR="00953415" w:rsidRPr="00D51EF4" w:rsidRDefault="00953415" w:rsidP="00711A13">
            <w:pPr>
              <w:jc w:val="center"/>
              <w:rPr>
                <w:rFonts w:ascii="Calibri" w:hAnsi="Calibri" w:cs="Calibri"/>
                <w:color w:val="000000"/>
                <w:lang w:val="en-GB" w:eastAsia="en-US"/>
              </w:rPr>
            </w:pPr>
          </w:p>
        </w:tc>
        <w:tc>
          <w:tcPr>
            <w:tcW w:w="1985" w:type="dxa"/>
            <w:tcBorders>
              <w:top w:val="nil"/>
              <w:left w:val="nil"/>
              <w:bottom w:val="nil"/>
              <w:right w:val="nil"/>
            </w:tcBorders>
            <w:shd w:val="clear" w:color="000000" w:fill="C0C0C0"/>
            <w:noWrap/>
            <w:vAlign w:val="bottom"/>
            <w:hideMark/>
          </w:tcPr>
          <w:p w14:paraId="4724414D" w14:textId="77777777" w:rsidR="00953415" w:rsidRPr="00D51EF4" w:rsidRDefault="00953415" w:rsidP="00711A13">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 </w:t>
            </w:r>
            <w:r w:rsidR="005329F6" w:rsidRPr="00D51EF4">
              <w:rPr>
                <w:rFonts w:ascii="Calibri" w:hAnsi="Calibri" w:cs="Calibri"/>
                <w:color w:val="000000"/>
                <w:sz w:val="22"/>
                <w:szCs w:val="22"/>
                <w:lang w:val="en-GB" w:eastAsia="en-US"/>
              </w:rPr>
              <w:t>0.00</w:t>
            </w:r>
          </w:p>
        </w:tc>
        <w:tc>
          <w:tcPr>
            <w:tcW w:w="947" w:type="dxa"/>
            <w:tcBorders>
              <w:top w:val="nil"/>
              <w:left w:val="nil"/>
              <w:bottom w:val="nil"/>
              <w:right w:val="nil"/>
            </w:tcBorders>
            <w:shd w:val="clear" w:color="auto" w:fill="auto"/>
            <w:noWrap/>
            <w:vAlign w:val="bottom"/>
            <w:hideMark/>
          </w:tcPr>
          <w:p w14:paraId="54EA0F6C" w14:textId="77777777" w:rsidR="00953415" w:rsidRPr="00D51EF4" w:rsidRDefault="00953415" w:rsidP="00711A13">
            <w:pPr>
              <w:jc w:val="center"/>
              <w:rPr>
                <w:rFonts w:ascii="Calibri" w:hAnsi="Calibri" w:cs="Calibri"/>
                <w:color w:val="000000"/>
                <w:lang w:val="en-GB" w:eastAsia="en-US"/>
              </w:rPr>
            </w:pPr>
          </w:p>
        </w:tc>
        <w:tc>
          <w:tcPr>
            <w:tcW w:w="470" w:type="dxa"/>
            <w:tcBorders>
              <w:top w:val="nil"/>
              <w:left w:val="nil"/>
              <w:bottom w:val="nil"/>
              <w:right w:val="nil"/>
            </w:tcBorders>
          </w:tcPr>
          <w:p w14:paraId="325E8404" w14:textId="77777777" w:rsidR="00953415" w:rsidRPr="00D51EF4" w:rsidRDefault="00953415" w:rsidP="00711A13">
            <w:pPr>
              <w:jc w:val="center"/>
              <w:rPr>
                <w:rFonts w:ascii="Calibri" w:hAnsi="Calibri" w:cs="Calibri"/>
                <w:color w:val="000000"/>
                <w:sz w:val="22"/>
                <w:szCs w:val="22"/>
                <w:lang w:val="en-GB" w:eastAsia="en-US"/>
              </w:rPr>
            </w:pPr>
          </w:p>
        </w:tc>
        <w:tc>
          <w:tcPr>
            <w:tcW w:w="1630" w:type="dxa"/>
            <w:tcBorders>
              <w:top w:val="nil"/>
              <w:left w:val="nil"/>
              <w:bottom w:val="nil"/>
              <w:right w:val="nil"/>
            </w:tcBorders>
            <w:shd w:val="clear" w:color="000000" w:fill="C0C0C0"/>
            <w:noWrap/>
            <w:vAlign w:val="bottom"/>
            <w:hideMark/>
          </w:tcPr>
          <w:p w14:paraId="6EFB68DD" w14:textId="77777777" w:rsidR="00953415" w:rsidRPr="00D51EF4" w:rsidRDefault="005329F6" w:rsidP="00711A13">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0.49</w:t>
            </w:r>
          </w:p>
        </w:tc>
        <w:tc>
          <w:tcPr>
            <w:tcW w:w="1631" w:type="dxa"/>
            <w:tcBorders>
              <w:top w:val="nil"/>
              <w:left w:val="nil"/>
              <w:bottom w:val="nil"/>
              <w:right w:val="nil"/>
            </w:tcBorders>
            <w:shd w:val="clear" w:color="000000" w:fill="C0C0C0"/>
            <w:noWrap/>
            <w:vAlign w:val="bottom"/>
            <w:hideMark/>
          </w:tcPr>
          <w:p w14:paraId="3DF2D734" w14:textId="77777777" w:rsidR="00953415" w:rsidRPr="00D51EF4" w:rsidRDefault="005329F6" w:rsidP="00711A13">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0.51</w:t>
            </w:r>
          </w:p>
        </w:tc>
      </w:tr>
    </w:tbl>
    <w:p w14:paraId="55DF4C31" w14:textId="77777777" w:rsidR="00711A13" w:rsidRPr="00D51EF4" w:rsidRDefault="00711A13" w:rsidP="00711A13">
      <w:pPr>
        <w:autoSpaceDE w:val="0"/>
        <w:autoSpaceDN w:val="0"/>
        <w:adjustRightInd w:val="0"/>
        <w:spacing w:line="480" w:lineRule="auto"/>
        <w:rPr>
          <w:lang w:val="en-GB"/>
        </w:rPr>
      </w:pPr>
    </w:p>
    <w:p w14:paraId="727AE491" w14:textId="0D767381" w:rsidR="00711A13" w:rsidRPr="00D51EF4" w:rsidRDefault="00274BF8" w:rsidP="00711A13">
      <w:pPr>
        <w:autoSpaceDE w:val="0"/>
        <w:autoSpaceDN w:val="0"/>
        <w:adjustRightInd w:val="0"/>
        <w:jc w:val="both"/>
        <w:rPr>
          <w:sz w:val="20"/>
          <w:szCs w:val="20"/>
          <w:lang w:val="en-GB"/>
        </w:rPr>
      </w:pPr>
      <w:r w:rsidRPr="00D51EF4">
        <w:rPr>
          <w:sz w:val="20"/>
          <w:szCs w:val="20"/>
          <w:lang w:val="en-GB"/>
        </w:rPr>
        <w:t xml:space="preserve">Table </w:t>
      </w:r>
      <w:r w:rsidR="00A1711B" w:rsidRPr="00D51EF4">
        <w:rPr>
          <w:sz w:val="20"/>
          <w:szCs w:val="20"/>
          <w:lang w:val="en-GB"/>
        </w:rPr>
        <w:t>5</w:t>
      </w:r>
      <w:r w:rsidR="00711A13" w:rsidRPr="00D51EF4">
        <w:rPr>
          <w:sz w:val="20"/>
          <w:szCs w:val="20"/>
          <w:lang w:val="en-GB"/>
        </w:rPr>
        <w:t xml:space="preserve"> </w:t>
      </w:r>
      <w:r w:rsidR="00F276D3" w:rsidRPr="00D51EF4">
        <w:rPr>
          <w:sz w:val="20"/>
          <w:szCs w:val="20"/>
          <w:lang w:val="en-GB"/>
        </w:rPr>
        <w:t xml:space="preserve">presents </w:t>
      </w:r>
      <w:r w:rsidR="00711A13" w:rsidRPr="00D51EF4">
        <w:rPr>
          <w:sz w:val="20"/>
          <w:szCs w:val="20"/>
          <w:lang w:val="en-GB"/>
        </w:rPr>
        <w:t>the mean, standard deviation, and number of observations (n) of the change in earnings scaled by end</w:t>
      </w:r>
      <w:r w:rsidR="00374AC5" w:rsidRPr="00D51EF4">
        <w:rPr>
          <w:sz w:val="20"/>
          <w:szCs w:val="20"/>
          <w:lang w:val="en-GB"/>
        </w:rPr>
        <w:t>-</w:t>
      </w:r>
      <w:r w:rsidR="00711A13" w:rsidRPr="00D51EF4">
        <w:rPr>
          <w:sz w:val="20"/>
          <w:szCs w:val="20"/>
          <w:lang w:val="en-GB"/>
        </w:rPr>
        <w:t>of</w:t>
      </w:r>
      <w:r w:rsidR="00374AC5" w:rsidRPr="00D51EF4">
        <w:rPr>
          <w:sz w:val="20"/>
          <w:szCs w:val="20"/>
          <w:lang w:val="en-GB"/>
        </w:rPr>
        <w:t>-</w:t>
      </w:r>
      <w:r w:rsidR="00711A13" w:rsidRPr="00D51EF4">
        <w:rPr>
          <w:sz w:val="20"/>
          <w:szCs w:val="20"/>
          <w:lang w:val="en-GB"/>
        </w:rPr>
        <w:t xml:space="preserve">period assets. The standard deviation of the change in scaled earnings </w:t>
      </w:r>
      <w:proofErr w:type="gramStart"/>
      <w:r w:rsidR="00711A13" w:rsidRPr="00D51EF4">
        <w:rPr>
          <w:sz w:val="20"/>
          <w:szCs w:val="20"/>
          <w:lang w:val="en-GB"/>
        </w:rPr>
        <w:t>is applied</w:t>
      </w:r>
      <w:proofErr w:type="gramEnd"/>
      <w:r w:rsidR="00711A13" w:rsidRPr="00D51EF4">
        <w:rPr>
          <w:sz w:val="20"/>
          <w:szCs w:val="20"/>
          <w:lang w:val="en-GB"/>
        </w:rPr>
        <w:t xml:space="preserve"> as a proxy variable for earnings management (shaded column). A second proxy variable for earnings management is the proportion of small profits, defined as earnings scaled by total assets between </w:t>
      </w:r>
      <w:proofErr w:type="gramStart"/>
      <w:r w:rsidR="00711A13" w:rsidRPr="00D51EF4">
        <w:rPr>
          <w:sz w:val="20"/>
          <w:szCs w:val="20"/>
          <w:lang w:val="en-GB"/>
        </w:rPr>
        <w:t>0</w:t>
      </w:r>
      <w:proofErr w:type="gramEnd"/>
      <w:r w:rsidR="00711A13" w:rsidRPr="00D51EF4">
        <w:rPr>
          <w:sz w:val="20"/>
          <w:szCs w:val="20"/>
          <w:lang w:val="en-GB"/>
        </w:rPr>
        <w:t xml:space="preserve"> and 0.01 (shaded column). The proportion of large losses, defined as earnings scaled by total assets smaller than -0.2, is a proxy variable for timely loss recognition (shaded column). </w:t>
      </w:r>
      <w:r w:rsidR="00094D99" w:rsidRPr="00D51EF4">
        <w:rPr>
          <w:sz w:val="20"/>
          <w:szCs w:val="20"/>
          <w:lang w:val="en-GB"/>
        </w:rPr>
        <w:t xml:space="preserve">The p-value for the difference in standard deviation </w:t>
      </w:r>
      <w:proofErr w:type="gramStart"/>
      <w:r w:rsidR="00094D99" w:rsidRPr="00D51EF4">
        <w:rPr>
          <w:sz w:val="20"/>
          <w:szCs w:val="20"/>
          <w:lang w:val="en-GB"/>
        </w:rPr>
        <w:t>is estimated</w:t>
      </w:r>
      <w:proofErr w:type="gramEnd"/>
      <w:r w:rsidR="00094D99" w:rsidRPr="00D51EF4">
        <w:rPr>
          <w:sz w:val="20"/>
          <w:szCs w:val="20"/>
          <w:lang w:val="en-GB"/>
        </w:rPr>
        <w:t xml:space="preserve"> </w:t>
      </w:r>
      <w:r w:rsidR="00F276D3" w:rsidRPr="00D51EF4">
        <w:rPr>
          <w:sz w:val="20"/>
          <w:szCs w:val="20"/>
          <w:lang w:val="en-GB"/>
        </w:rPr>
        <w:t xml:space="preserve">using </w:t>
      </w:r>
      <w:r w:rsidR="00094D99" w:rsidRPr="00D51EF4">
        <w:rPr>
          <w:sz w:val="20"/>
          <w:szCs w:val="20"/>
          <w:lang w:val="en-GB"/>
        </w:rPr>
        <w:t>a standard F-test, whereas the p-values for the differences in small</w:t>
      </w:r>
      <w:r w:rsidR="00F276D3" w:rsidRPr="00D51EF4">
        <w:rPr>
          <w:sz w:val="20"/>
          <w:szCs w:val="20"/>
          <w:lang w:val="en-GB"/>
        </w:rPr>
        <w:t>-</w:t>
      </w:r>
      <w:r w:rsidR="00094D99" w:rsidRPr="00D51EF4">
        <w:rPr>
          <w:sz w:val="20"/>
          <w:szCs w:val="20"/>
          <w:lang w:val="en-GB"/>
        </w:rPr>
        <w:t>profit proport</w:t>
      </w:r>
      <w:r w:rsidR="002011DD" w:rsidRPr="00D51EF4">
        <w:rPr>
          <w:sz w:val="20"/>
          <w:szCs w:val="20"/>
          <w:lang w:val="en-GB"/>
        </w:rPr>
        <w:t>ion and large</w:t>
      </w:r>
      <w:r w:rsidR="00F276D3" w:rsidRPr="00D51EF4">
        <w:rPr>
          <w:sz w:val="20"/>
          <w:szCs w:val="20"/>
          <w:lang w:val="en-GB"/>
        </w:rPr>
        <w:t>-</w:t>
      </w:r>
      <w:r w:rsidR="002011DD" w:rsidRPr="00D51EF4">
        <w:rPr>
          <w:sz w:val="20"/>
          <w:szCs w:val="20"/>
          <w:lang w:val="en-GB"/>
        </w:rPr>
        <w:t>loss proportion are</w:t>
      </w:r>
      <w:r w:rsidR="00094D99" w:rsidRPr="00D51EF4">
        <w:rPr>
          <w:sz w:val="20"/>
          <w:szCs w:val="20"/>
          <w:lang w:val="en-GB"/>
        </w:rPr>
        <w:t xml:space="preserve"> estimated </w:t>
      </w:r>
      <w:r w:rsidR="00F276D3" w:rsidRPr="00D51EF4">
        <w:rPr>
          <w:sz w:val="20"/>
          <w:szCs w:val="20"/>
          <w:lang w:val="en-GB"/>
        </w:rPr>
        <w:t xml:space="preserve">using </w:t>
      </w:r>
      <w:r w:rsidR="00094D99" w:rsidRPr="00D51EF4">
        <w:rPr>
          <w:sz w:val="20"/>
          <w:szCs w:val="20"/>
          <w:lang w:val="en-GB"/>
        </w:rPr>
        <w:t>a standard t-test for differences in means.</w:t>
      </w:r>
    </w:p>
    <w:p w14:paraId="6F9F76AC" w14:textId="77777777" w:rsidR="003736FF" w:rsidRPr="00D51EF4" w:rsidRDefault="003736FF">
      <w:pPr>
        <w:spacing w:after="200" w:line="276" w:lineRule="auto"/>
        <w:rPr>
          <w:sz w:val="20"/>
          <w:szCs w:val="20"/>
          <w:lang w:val="en-GB"/>
        </w:rPr>
      </w:pPr>
      <w:r w:rsidRPr="00D51EF4">
        <w:rPr>
          <w:sz w:val="20"/>
          <w:szCs w:val="20"/>
          <w:lang w:val="en-GB"/>
        </w:rPr>
        <w:br w:type="page"/>
      </w:r>
    </w:p>
    <w:p w14:paraId="5398A92E" w14:textId="77777777" w:rsidR="003736FF" w:rsidRPr="00D51EF4" w:rsidRDefault="00274BF8" w:rsidP="003736FF">
      <w:pPr>
        <w:spacing w:line="480" w:lineRule="auto"/>
        <w:jc w:val="both"/>
        <w:rPr>
          <w:b/>
          <w:i/>
          <w:lang w:val="en-GB"/>
        </w:rPr>
      </w:pPr>
      <w:r w:rsidRPr="00D51EF4">
        <w:rPr>
          <w:b/>
          <w:i/>
          <w:lang w:val="en-GB"/>
        </w:rPr>
        <w:lastRenderedPageBreak/>
        <w:t xml:space="preserve">Table </w:t>
      </w:r>
      <w:r w:rsidR="00A1711B" w:rsidRPr="00D51EF4">
        <w:rPr>
          <w:b/>
          <w:i/>
          <w:lang w:val="en-GB"/>
        </w:rPr>
        <w:t>6</w:t>
      </w:r>
      <w:r w:rsidR="003736FF" w:rsidRPr="00D51EF4">
        <w:rPr>
          <w:b/>
          <w:i/>
          <w:lang w:val="en-GB"/>
        </w:rPr>
        <w:t>: Earnings Quality as Measured by Rating Relevance</w:t>
      </w:r>
    </w:p>
    <w:p w14:paraId="229F3DED" w14:textId="77777777" w:rsidR="00213F6D" w:rsidRPr="00D51EF4" w:rsidRDefault="00213F6D" w:rsidP="003736FF">
      <w:pPr>
        <w:spacing w:line="480" w:lineRule="auto"/>
        <w:jc w:val="both"/>
        <w:rPr>
          <w:b/>
          <w:i/>
          <w:lang w:val="en-GB"/>
        </w:rPr>
      </w:pPr>
    </w:p>
    <w:tbl>
      <w:tblPr>
        <w:tblW w:w="6181" w:type="dxa"/>
        <w:tblInd w:w="93" w:type="dxa"/>
        <w:tblLook w:val="04A0" w:firstRow="1" w:lastRow="0" w:firstColumn="1" w:lastColumn="0" w:noHBand="0" w:noVBand="1"/>
      </w:tblPr>
      <w:tblGrid>
        <w:gridCol w:w="1940"/>
        <w:gridCol w:w="1294"/>
        <w:gridCol w:w="1386"/>
        <w:gridCol w:w="1561"/>
      </w:tblGrid>
      <w:tr w:rsidR="00C31EC8" w:rsidRPr="004E1E17" w14:paraId="4C3D699B" w14:textId="77777777" w:rsidTr="00A845F0">
        <w:trPr>
          <w:trHeight w:val="300"/>
        </w:trPr>
        <w:tc>
          <w:tcPr>
            <w:tcW w:w="1940" w:type="dxa"/>
            <w:tcBorders>
              <w:top w:val="nil"/>
              <w:left w:val="nil"/>
              <w:bottom w:val="nil"/>
              <w:right w:val="nil"/>
            </w:tcBorders>
            <w:shd w:val="clear" w:color="auto" w:fill="auto"/>
            <w:noWrap/>
            <w:vAlign w:val="bottom"/>
            <w:hideMark/>
          </w:tcPr>
          <w:p w14:paraId="52177C5F" w14:textId="77777777" w:rsidR="00C31EC8" w:rsidRPr="00D51EF4" w:rsidRDefault="00C31EC8" w:rsidP="003736FF">
            <w:pPr>
              <w:rPr>
                <w:rFonts w:ascii="Arial" w:hAnsi="Arial" w:cs="Arial"/>
                <w:b/>
                <w:bCs/>
                <w:sz w:val="20"/>
                <w:szCs w:val="20"/>
                <w:u w:val="single"/>
                <w:lang w:val="en-GB" w:eastAsia="en-US"/>
              </w:rPr>
            </w:pPr>
            <w:r w:rsidRPr="00D51EF4">
              <w:rPr>
                <w:rFonts w:ascii="Arial" w:hAnsi="Arial" w:cs="Arial"/>
                <w:b/>
                <w:bCs/>
                <w:sz w:val="20"/>
                <w:szCs w:val="20"/>
                <w:u w:val="single"/>
                <w:lang w:val="en-GB" w:eastAsia="en-US"/>
              </w:rPr>
              <w:t xml:space="preserve">Variable </w:t>
            </w:r>
          </w:p>
        </w:tc>
        <w:tc>
          <w:tcPr>
            <w:tcW w:w="1294" w:type="dxa"/>
            <w:tcBorders>
              <w:top w:val="nil"/>
              <w:left w:val="nil"/>
              <w:bottom w:val="nil"/>
              <w:right w:val="nil"/>
            </w:tcBorders>
            <w:shd w:val="clear" w:color="auto" w:fill="auto"/>
            <w:noWrap/>
            <w:vAlign w:val="bottom"/>
            <w:hideMark/>
          </w:tcPr>
          <w:p w14:paraId="6A0B2918" w14:textId="1439C228" w:rsidR="00C31EC8" w:rsidRPr="00D51EF4" w:rsidRDefault="00C31EC8" w:rsidP="003736FF">
            <w:pPr>
              <w:jc w:val="center"/>
              <w:rPr>
                <w:rFonts w:ascii="Arial" w:hAnsi="Arial" w:cs="Arial"/>
                <w:b/>
                <w:bCs/>
                <w:sz w:val="20"/>
                <w:szCs w:val="20"/>
                <w:u w:val="single"/>
                <w:lang w:val="en-GB" w:eastAsia="en-US"/>
              </w:rPr>
            </w:pPr>
            <w:r w:rsidRPr="00D51EF4">
              <w:rPr>
                <w:rFonts w:ascii="Arial" w:hAnsi="Arial" w:cs="Arial"/>
                <w:b/>
                <w:bCs/>
                <w:sz w:val="20"/>
                <w:szCs w:val="20"/>
                <w:u w:val="single"/>
                <w:lang w:val="en-GB" w:eastAsia="en-US"/>
              </w:rPr>
              <w:t>For-</w:t>
            </w:r>
            <w:r w:rsidR="00F276D3" w:rsidRPr="00D51EF4">
              <w:rPr>
                <w:rFonts w:ascii="Arial" w:hAnsi="Arial" w:cs="Arial"/>
                <w:b/>
                <w:bCs/>
                <w:sz w:val="20"/>
                <w:szCs w:val="20"/>
                <w:u w:val="single"/>
                <w:lang w:val="en-GB" w:eastAsia="en-US"/>
              </w:rPr>
              <w:t>p</w:t>
            </w:r>
            <w:r w:rsidRPr="00D51EF4">
              <w:rPr>
                <w:rFonts w:ascii="Arial" w:hAnsi="Arial" w:cs="Arial"/>
                <w:b/>
                <w:bCs/>
                <w:sz w:val="20"/>
                <w:szCs w:val="20"/>
                <w:u w:val="single"/>
                <w:lang w:val="en-GB" w:eastAsia="en-US"/>
              </w:rPr>
              <w:t>rofit</w:t>
            </w:r>
          </w:p>
        </w:tc>
        <w:tc>
          <w:tcPr>
            <w:tcW w:w="1386" w:type="dxa"/>
            <w:tcBorders>
              <w:top w:val="nil"/>
              <w:left w:val="nil"/>
              <w:bottom w:val="nil"/>
              <w:right w:val="nil"/>
            </w:tcBorders>
            <w:shd w:val="clear" w:color="auto" w:fill="auto"/>
            <w:noWrap/>
            <w:vAlign w:val="bottom"/>
            <w:hideMark/>
          </w:tcPr>
          <w:p w14:paraId="49345CBA" w14:textId="13602A32" w:rsidR="00C31EC8" w:rsidRPr="00D51EF4" w:rsidRDefault="007E28B9" w:rsidP="003736FF">
            <w:pPr>
              <w:jc w:val="center"/>
              <w:rPr>
                <w:rFonts w:ascii="Arial" w:hAnsi="Arial" w:cs="Arial"/>
                <w:b/>
                <w:bCs/>
                <w:sz w:val="20"/>
                <w:szCs w:val="20"/>
                <w:u w:val="single"/>
                <w:lang w:val="en-GB" w:eastAsia="en-US"/>
              </w:rPr>
            </w:pPr>
            <w:proofErr w:type="spellStart"/>
            <w:r>
              <w:rPr>
                <w:rFonts w:ascii="Arial" w:hAnsi="Arial" w:cs="Arial"/>
                <w:b/>
                <w:bCs/>
                <w:sz w:val="20"/>
                <w:szCs w:val="20"/>
                <w:u w:val="single"/>
                <w:lang w:val="en-GB" w:eastAsia="en-US"/>
              </w:rPr>
              <w:t>Non</w:t>
            </w:r>
            <w:r w:rsidR="00F276D3" w:rsidRPr="00D51EF4">
              <w:rPr>
                <w:rFonts w:ascii="Arial" w:hAnsi="Arial" w:cs="Arial"/>
                <w:b/>
                <w:bCs/>
                <w:sz w:val="20"/>
                <w:szCs w:val="20"/>
                <w:u w:val="single"/>
                <w:lang w:val="en-GB" w:eastAsia="en-US"/>
              </w:rPr>
              <w:t>p</w:t>
            </w:r>
            <w:r w:rsidR="00C31EC8" w:rsidRPr="00D51EF4">
              <w:rPr>
                <w:rFonts w:ascii="Arial" w:hAnsi="Arial" w:cs="Arial"/>
                <w:b/>
                <w:bCs/>
                <w:sz w:val="20"/>
                <w:szCs w:val="20"/>
                <w:u w:val="single"/>
                <w:lang w:val="en-GB" w:eastAsia="en-US"/>
              </w:rPr>
              <w:t>rofit</w:t>
            </w:r>
            <w:proofErr w:type="spellEnd"/>
          </w:p>
        </w:tc>
        <w:tc>
          <w:tcPr>
            <w:tcW w:w="1561" w:type="dxa"/>
            <w:tcBorders>
              <w:top w:val="nil"/>
              <w:left w:val="nil"/>
              <w:bottom w:val="nil"/>
              <w:right w:val="nil"/>
            </w:tcBorders>
            <w:shd w:val="clear" w:color="auto" w:fill="auto"/>
            <w:noWrap/>
            <w:vAlign w:val="bottom"/>
          </w:tcPr>
          <w:p w14:paraId="78D631B2" w14:textId="063F2032" w:rsidR="00C31EC8" w:rsidRPr="00D51EF4" w:rsidRDefault="00C31EC8" w:rsidP="003736FF">
            <w:pPr>
              <w:jc w:val="center"/>
              <w:rPr>
                <w:rFonts w:ascii="Arial" w:hAnsi="Arial" w:cs="Arial"/>
                <w:b/>
                <w:bCs/>
                <w:sz w:val="20"/>
                <w:szCs w:val="20"/>
                <w:u w:val="single"/>
                <w:lang w:val="en-GB" w:eastAsia="en-US"/>
              </w:rPr>
            </w:pPr>
            <w:r w:rsidRPr="00D51EF4">
              <w:rPr>
                <w:rFonts w:ascii="Arial" w:hAnsi="Arial" w:cs="Arial"/>
                <w:b/>
                <w:bCs/>
                <w:i/>
                <w:sz w:val="20"/>
                <w:szCs w:val="20"/>
                <w:u w:val="single"/>
                <w:lang w:val="en-GB" w:eastAsia="en-US"/>
              </w:rPr>
              <w:t xml:space="preserve">P-value of </w:t>
            </w:r>
            <w:r w:rsidR="00683D83">
              <w:rPr>
                <w:rFonts w:ascii="Arial" w:hAnsi="Arial" w:cs="Arial"/>
                <w:b/>
                <w:bCs/>
                <w:i/>
                <w:sz w:val="20"/>
                <w:szCs w:val="20"/>
                <w:u w:val="single"/>
                <w:lang w:val="en-GB" w:eastAsia="en-US"/>
              </w:rPr>
              <w:t xml:space="preserve">the </w:t>
            </w:r>
            <w:r w:rsidRPr="00D51EF4">
              <w:rPr>
                <w:rFonts w:ascii="Arial" w:hAnsi="Arial" w:cs="Arial"/>
                <w:b/>
                <w:bCs/>
                <w:i/>
                <w:sz w:val="20"/>
                <w:szCs w:val="20"/>
                <w:u w:val="single"/>
                <w:lang w:val="en-GB" w:eastAsia="en-US"/>
              </w:rPr>
              <w:t>difference</w:t>
            </w:r>
          </w:p>
        </w:tc>
      </w:tr>
      <w:tr w:rsidR="00C31EC8" w:rsidRPr="00D51EF4" w14:paraId="55C89B59" w14:textId="77777777" w:rsidTr="00A845F0">
        <w:trPr>
          <w:trHeight w:val="300"/>
        </w:trPr>
        <w:tc>
          <w:tcPr>
            <w:tcW w:w="1940" w:type="dxa"/>
            <w:tcBorders>
              <w:top w:val="nil"/>
              <w:left w:val="nil"/>
              <w:bottom w:val="nil"/>
              <w:right w:val="nil"/>
            </w:tcBorders>
            <w:shd w:val="clear" w:color="000000" w:fill="C0C0C0"/>
            <w:noWrap/>
            <w:vAlign w:val="bottom"/>
            <w:hideMark/>
          </w:tcPr>
          <w:p w14:paraId="6B094788" w14:textId="77777777" w:rsidR="00C31EC8" w:rsidRPr="00D51EF4" w:rsidRDefault="00C31EC8" w:rsidP="003736FF">
            <w:pPr>
              <w:rPr>
                <w:rFonts w:ascii="Calibri" w:hAnsi="Calibri" w:cs="Calibri"/>
                <w:color w:val="000000"/>
                <w:lang w:val="en-GB" w:eastAsia="en-US"/>
              </w:rPr>
            </w:pPr>
            <w:r w:rsidRPr="00D51EF4">
              <w:rPr>
                <w:rFonts w:ascii="Calibri" w:hAnsi="Calibri" w:cs="Calibri"/>
                <w:color w:val="000000"/>
                <w:sz w:val="22"/>
                <w:szCs w:val="22"/>
                <w:lang w:val="en-GB" w:eastAsia="en-US"/>
              </w:rPr>
              <w:t>EARN/ASSETS</w:t>
            </w:r>
          </w:p>
        </w:tc>
        <w:tc>
          <w:tcPr>
            <w:tcW w:w="1294" w:type="dxa"/>
            <w:tcBorders>
              <w:top w:val="nil"/>
              <w:left w:val="nil"/>
              <w:bottom w:val="nil"/>
              <w:right w:val="nil"/>
            </w:tcBorders>
            <w:shd w:val="clear" w:color="000000" w:fill="C0C0C0"/>
            <w:noWrap/>
            <w:vAlign w:val="bottom"/>
            <w:hideMark/>
          </w:tcPr>
          <w:p w14:paraId="5E0A1FA5" w14:textId="77777777" w:rsidR="00C31EC8" w:rsidRPr="00D51EF4" w:rsidRDefault="00C31EC8" w:rsidP="003736FF">
            <w:pPr>
              <w:jc w:val="center"/>
              <w:rPr>
                <w:rFonts w:ascii="Arial" w:hAnsi="Arial" w:cs="Arial"/>
                <w:sz w:val="20"/>
                <w:szCs w:val="20"/>
                <w:lang w:val="en-GB" w:eastAsia="en-US"/>
              </w:rPr>
            </w:pPr>
            <w:r w:rsidRPr="00D51EF4">
              <w:rPr>
                <w:rFonts w:ascii="Arial" w:hAnsi="Arial" w:cs="Arial"/>
                <w:sz w:val="20"/>
                <w:szCs w:val="20"/>
                <w:lang w:val="en-GB" w:eastAsia="en-US"/>
              </w:rPr>
              <w:t>16.92***</w:t>
            </w:r>
          </w:p>
        </w:tc>
        <w:tc>
          <w:tcPr>
            <w:tcW w:w="1386" w:type="dxa"/>
            <w:tcBorders>
              <w:top w:val="nil"/>
              <w:left w:val="nil"/>
              <w:bottom w:val="nil"/>
              <w:right w:val="nil"/>
            </w:tcBorders>
            <w:shd w:val="clear" w:color="000000" w:fill="C0C0C0"/>
            <w:noWrap/>
            <w:vAlign w:val="bottom"/>
            <w:hideMark/>
          </w:tcPr>
          <w:p w14:paraId="456CE4DE" w14:textId="77777777" w:rsidR="00C31EC8" w:rsidRPr="00D51EF4" w:rsidRDefault="00C31EC8" w:rsidP="003736FF">
            <w:pPr>
              <w:jc w:val="center"/>
              <w:rPr>
                <w:rFonts w:ascii="Arial" w:hAnsi="Arial" w:cs="Arial"/>
                <w:sz w:val="20"/>
                <w:szCs w:val="20"/>
                <w:lang w:val="en-GB" w:eastAsia="en-US"/>
              </w:rPr>
            </w:pPr>
            <w:r w:rsidRPr="00D51EF4">
              <w:rPr>
                <w:rFonts w:ascii="Arial" w:hAnsi="Arial" w:cs="Arial"/>
                <w:sz w:val="20"/>
                <w:szCs w:val="20"/>
                <w:lang w:val="en-GB" w:eastAsia="en-US"/>
              </w:rPr>
              <w:t>16.47***</w:t>
            </w:r>
          </w:p>
        </w:tc>
        <w:tc>
          <w:tcPr>
            <w:tcW w:w="1561" w:type="dxa"/>
            <w:tcBorders>
              <w:top w:val="nil"/>
              <w:left w:val="nil"/>
              <w:bottom w:val="nil"/>
              <w:right w:val="nil"/>
            </w:tcBorders>
            <w:shd w:val="clear" w:color="000000" w:fill="C0C0C0"/>
            <w:noWrap/>
            <w:vAlign w:val="bottom"/>
          </w:tcPr>
          <w:p w14:paraId="7D94F003" w14:textId="77777777" w:rsidR="00C31EC8" w:rsidRPr="00D51EF4" w:rsidRDefault="00C31EC8" w:rsidP="003736FF">
            <w:pPr>
              <w:jc w:val="center"/>
              <w:rPr>
                <w:rFonts w:ascii="Arial" w:hAnsi="Arial" w:cs="Arial"/>
                <w:sz w:val="20"/>
                <w:szCs w:val="20"/>
                <w:lang w:val="en-GB" w:eastAsia="en-US"/>
              </w:rPr>
            </w:pPr>
            <w:r w:rsidRPr="00D51EF4">
              <w:rPr>
                <w:rFonts w:ascii="Arial" w:hAnsi="Arial" w:cs="Arial"/>
                <w:sz w:val="20"/>
                <w:szCs w:val="20"/>
                <w:lang w:val="en-GB" w:eastAsia="en-US"/>
              </w:rPr>
              <w:t>0.76</w:t>
            </w:r>
          </w:p>
        </w:tc>
      </w:tr>
      <w:tr w:rsidR="00C31EC8" w:rsidRPr="00D51EF4" w14:paraId="344C38AC" w14:textId="77777777" w:rsidTr="00A845F0">
        <w:trPr>
          <w:trHeight w:val="300"/>
        </w:trPr>
        <w:tc>
          <w:tcPr>
            <w:tcW w:w="1940" w:type="dxa"/>
            <w:tcBorders>
              <w:top w:val="nil"/>
              <w:left w:val="nil"/>
              <w:bottom w:val="nil"/>
              <w:right w:val="nil"/>
            </w:tcBorders>
            <w:shd w:val="clear" w:color="auto" w:fill="auto"/>
            <w:noWrap/>
            <w:vAlign w:val="bottom"/>
            <w:hideMark/>
          </w:tcPr>
          <w:p w14:paraId="0BFC93B4" w14:textId="77777777" w:rsidR="00C31EC8" w:rsidRPr="00D51EF4" w:rsidRDefault="00C31EC8" w:rsidP="003736FF">
            <w:pPr>
              <w:rPr>
                <w:rFonts w:ascii="Arial" w:hAnsi="Arial" w:cs="Arial"/>
                <w:b/>
                <w:bCs/>
                <w:sz w:val="20"/>
                <w:szCs w:val="20"/>
                <w:u w:val="single"/>
                <w:lang w:val="en-GB" w:eastAsia="en-US"/>
              </w:rPr>
            </w:pPr>
          </w:p>
        </w:tc>
        <w:tc>
          <w:tcPr>
            <w:tcW w:w="1294" w:type="dxa"/>
            <w:tcBorders>
              <w:top w:val="nil"/>
              <w:left w:val="nil"/>
              <w:bottom w:val="nil"/>
              <w:right w:val="nil"/>
            </w:tcBorders>
            <w:shd w:val="clear" w:color="auto" w:fill="auto"/>
            <w:noWrap/>
            <w:vAlign w:val="bottom"/>
            <w:hideMark/>
          </w:tcPr>
          <w:p w14:paraId="73BB2938" w14:textId="77777777" w:rsidR="00C31EC8" w:rsidRPr="00D51EF4" w:rsidRDefault="00C31EC8" w:rsidP="003736FF">
            <w:pPr>
              <w:jc w:val="center"/>
              <w:rPr>
                <w:rFonts w:ascii="Calibri" w:hAnsi="Calibri" w:cs="Calibri"/>
                <w:color w:val="000000"/>
                <w:lang w:val="en-GB" w:eastAsia="en-US"/>
              </w:rPr>
            </w:pPr>
          </w:p>
        </w:tc>
        <w:tc>
          <w:tcPr>
            <w:tcW w:w="1386" w:type="dxa"/>
            <w:tcBorders>
              <w:top w:val="nil"/>
              <w:left w:val="nil"/>
              <w:bottom w:val="nil"/>
              <w:right w:val="nil"/>
            </w:tcBorders>
            <w:shd w:val="clear" w:color="auto" w:fill="auto"/>
            <w:noWrap/>
            <w:vAlign w:val="bottom"/>
            <w:hideMark/>
          </w:tcPr>
          <w:p w14:paraId="6E293876" w14:textId="77777777" w:rsidR="00C31EC8" w:rsidRPr="00D51EF4" w:rsidRDefault="00C31EC8" w:rsidP="003736FF">
            <w:pPr>
              <w:jc w:val="center"/>
              <w:rPr>
                <w:rFonts w:ascii="Calibri" w:hAnsi="Calibri" w:cs="Calibri"/>
                <w:color w:val="000000"/>
                <w:lang w:val="en-GB" w:eastAsia="en-US"/>
              </w:rPr>
            </w:pPr>
          </w:p>
        </w:tc>
        <w:tc>
          <w:tcPr>
            <w:tcW w:w="1561" w:type="dxa"/>
            <w:tcBorders>
              <w:top w:val="nil"/>
              <w:left w:val="nil"/>
              <w:bottom w:val="nil"/>
              <w:right w:val="nil"/>
            </w:tcBorders>
            <w:shd w:val="clear" w:color="auto" w:fill="auto"/>
            <w:noWrap/>
            <w:vAlign w:val="bottom"/>
          </w:tcPr>
          <w:p w14:paraId="3E67EF18" w14:textId="77777777" w:rsidR="00C31EC8" w:rsidRPr="00D51EF4" w:rsidRDefault="00C31EC8" w:rsidP="003736FF">
            <w:pPr>
              <w:jc w:val="center"/>
              <w:rPr>
                <w:rFonts w:ascii="Calibri" w:hAnsi="Calibri" w:cs="Calibri"/>
                <w:color w:val="000000"/>
                <w:lang w:val="en-GB" w:eastAsia="en-US"/>
              </w:rPr>
            </w:pPr>
          </w:p>
        </w:tc>
      </w:tr>
      <w:tr w:rsidR="00C31EC8" w:rsidRPr="00D51EF4" w14:paraId="2AD0D460" w14:textId="77777777" w:rsidTr="00A845F0">
        <w:trPr>
          <w:trHeight w:val="300"/>
        </w:trPr>
        <w:tc>
          <w:tcPr>
            <w:tcW w:w="1940" w:type="dxa"/>
            <w:tcBorders>
              <w:top w:val="nil"/>
              <w:left w:val="nil"/>
              <w:bottom w:val="nil"/>
              <w:right w:val="nil"/>
            </w:tcBorders>
            <w:shd w:val="clear" w:color="auto" w:fill="auto"/>
            <w:noWrap/>
            <w:vAlign w:val="bottom"/>
            <w:hideMark/>
          </w:tcPr>
          <w:p w14:paraId="6B26E6DD" w14:textId="77777777" w:rsidR="00C31EC8" w:rsidRPr="00D51EF4" w:rsidRDefault="00C31EC8" w:rsidP="003736FF">
            <w:pPr>
              <w:rPr>
                <w:rFonts w:ascii="Calibri" w:hAnsi="Calibri" w:cs="Calibri"/>
                <w:color w:val="000000"/>
                <w:lang w:val="en-GB" w:eastAsia="en-US"/>
              </w:rPr>
            </w:pPr>
            <w:r w:rsidRPr="00D51EF4">
              <w:rPr>
                <w:rFonts w:ascii="Calibri" w:hAnsi="Calibri" w:cs="Calibri"/>
                <w:color w:val="000000"/>
                <w:sz w:val="22"/>
                <w:szCs w:val="22"/>
                <w:lang w:val="en-GB" w:eastAsia="en-US"/>
              </w:rPr>
              <w:t>LN(ASSETS)</w:t>
            </w:r>
          </w:p>
        </w:tc>
        <w:tc>
          <w:tcPr>
            <w:tcW w:w="1294" w:type="dxa"/>
            <w:tcBorders>
              <w:top w:val="nil"/>
              <w:left w:val="nil"/>
              <w:bottom w:val="nil"/>
              <w:right w:val="nil"/>
            </w:tcBorders>
            <w:shd w:val="clear" w:color="auto" w:fill="auto"/>
            <w:noWrap/>
            <w:vAlign w:val="bottom"/>
            <w:hideMark/>
          </w:tcPr>
          <w:p w14:paraId="4E7397F5" w14:textId="77777777" w:rsidR="00C31EC8" w:rsidRPr="00D51EF4" w:rsidRDefault="00C31EC8" w:rsidP="003736FF">
            <w:pPr>
              <w:jc w:val="center"/>
              <w:rPr>
                <w:rFonts w:ascii="Arial" w:hAnsi="Arial" w:cs="Arial"/>
                <w:sz w:val="20"/>
                <w:szCs w:val="20"/>
                <w:lang w:val="en-GB" w:eastAsia="en-US"/>
              </w:rPr>
            </w:pPr>
            <w:r w:rsidRPr="00D51EF4">
              <w:rPr>
                <w:rFonts w:ascii="Arial" w:hAnsi="Arial" w:cs="Arial"/>
                <w:sz w:val="20"/>
                <w:szCs w:val="20"/>
                <w:lang w:val="en-GB" w:eastAsia="en-US"/>
              </w:rPr>
              <w:t>1.38***</w:t>
            </w:r>
          </w:p>
        </w:tc>
        <w:tc>
          <w:tcPr>
            <w:tcW w:w="1386" w:type="dxa"/>
            <w:tcBorders>
              <w:top w:val="nil"/>
              <w:left w:val="nil"/>
              <w:bottom w:val="nil"/>
              <w:right w:val="nil"/>
            </w:tcBorders>
            <w:shd w:val="clear" w:color="auto" w:fill="auto"/>
            <w:noWrap/>
            <w:vAlign w:val="bottom"/>
            <w:hideMark/>
          </w:tcPr>
          <w:p w14:paraId="43996C98" w14:textId="77777777" w:rsidR="00C31EC8" w:rsidRPr="00D51EF4" w:rsidRDefault="00C31EC8" w:rsidP="003736FF">
            <w:pPr>
              <w:jc w:val="center"/>
              <w:rPr>
                <w:rFonts w:ascii="Arial" w:hAnsi="Arial" w:cs="Arial"/>
                <w:sz w:val="20"/>
                <w:szCs w:val="20"/>
                <w:lang w:val="en-GB" w:eastAsia="en-US"/>
              </w:rPr>
            </w:pPr>
            <w:r w:rsidRPr="00D51EF4">
              <w:rPr>
                <w:rFonts w:ascii="Arial" w:hAnsi="Arial" w:cs="Arial"/>
                <w:sz w:val="20"/>
                <w:szCs w:val="20"/>
                <w:lang w:val="en-GB" w:eastAsia="en-US"/>
              </w:rPr>
              <w:t>1.46***</w:t>
            </w:r>
          </w:p>
        </w:tc>
        <w:tc>
          <w:tcPr>
            <w:tcW w:w="1561" w:type="dxa"/>
            <w:tcBorders>
              <w:top w:val="nil"/>
              <w:left w:val="nil"/>
              <w:bottom w:val="nil"/>
              <w:right w:val="nil"/>
            </w:tcBorders>
            <w:shd w:val="clear" w:color="auto" w:fill="auto"/>
            <w:noWrap/>
            <w:vAlign w:val="bottom"/>
          </w:tcPr>
          <w:p w14:paraId="6FE7CDD8" w14:textId="77777777" w:rsidR="00C31EC8" w:rsidRPr="00D51EF4" w:rsidRDefault="00C31EC8" w:rsidP="003736FF">
            <w:pPr>
              <w:jc w:val="center"/>
              <w:rPr>
                <w:rFonts w:ascii="Arial" w:hAnsi="Arial" w:cs="Arial"/>
                <w:sz w:val="20"/>
                <w:szCs w:val="20"/>
                <w:lang w:val="en-GB" w:eastAsia="en-US"/>
              </w:rPr>
            </w:pPr>
          </w:p>
        </w:tc>
      </w:tr>
      <w:tr w:rsidR="00C31EC8" w:rsidRPr="00D51EF4" w14:paraId="370E2699" w14:textId="77777777" w:rsidTr="00A845F0">
        <w:trPr>
          <w:trHeight w:val="300"/>
        </w:trPr>
        <w:tc>
          <w:tcPr>
            <w:tcW w:w="1940" w:type="dxa"/>
            <w:tcBorders>
              <w:top w:val="nil"/>
              <w:left w:val="nil"/>
              <w:bottom w:val="nil"/>
              <w:right w:val="nil"/>
            </w:tcBorders>
            <w:shd w:val="clear" w:color="auto" w:fill="auto"/>
            <w:noWrap/>
            <w:vAlign w:val="bottom"/>
            <w:hideMark/>
          </w:tcPr>
          <w:p w14:paraId="287038EC" w14:textId="77777777" w:rsidR="00C31EC8" w:rsidRPr="00D51EF4" w:rsidRDefault="00C31EC8" w:rsidP="003736FF">
            <w:pPr>
              <w:rPr>
                <w:rFonts w:ascii="Calibri" w:hAnsi="Calibri" w:cs="Calibri"/>
                <w:color w:val="000000"/>
                <w:lang w:val="en-GB" w:eastAsia="en-US"/>
              </w:rPr>
            </w:pPr>
            <w:r w:rsidRPr="00D51EF4">
              <w:rPr>
                <w:rFonts w:ascii="Calibri" w:hAnsi="Calibri" w:cs="Calibri"/>
                <w:color w:val="000000"/>
                <w:sz w:val="22"/>
                <w:szCs w:val="22"/>
                <w:lang w:val="en-GB" w:eastAsia="en-US"/>
              </w:rPr>
              <w:t>OEX_PORTF</w:t>
            </w:r>
          </w:p>
        </w:tc>
        <w:tc>
          <w:tcPr>
            <w:tcW w:w="1294" w:type="dxa"/>
            <w:tcBorders>
              <w:top w:val="nil"/>
              <w:left w:val="nil"/>
              <w:bottom w:val="nil"/>
              <w:right w:val="nil"/>
            </w:tcBorders>
            <w:shd w:val="clear" w:color="auto" w:fill="auto"/>
            <w:noWrap/>
            <w:vAlign w:val="bottom"/>
            <w:hideMark/>
          </w:tcPr>
          <w:p w14:paraId="74448B99" w14:textId="77777777" w:rsidR="00C31EC8" w:rsidRPr="00D51EF4" w:rsidRDefault="00C31EC8" w:rsidP="003736FF">
            <w:pPr>
              <w:jc w:val="center"/>
              <w:rPr>
                <w:rFonts w:ascii="Arial" w:hAnsi="Arial" w:cs="Arial"/>
                <w:sz w:val="20"/>
                <w:szCs w:val="20"/>
                <w:lang w:val="en-GB" w:eastAsia="en-US"/>
              </w:rPr>
            </w:pPr>
            <w:r w:rsidRPr="00D51EF4">
              <w:rPr>
                <w:rFonts w:ascii="Arial" w:hAnsi="Arial" w:cs="Arial"/>
                <w:sz w:val="20"/>
                <w:szCs w:val="20"/>
                <w:lang w:val="en-GB" w:eastAsia="en-US"/>
              </w:rPr>
              <w:t>-2.16**</w:t>
            </w:r>
          </w:p>
        </w:tc>
        <w:tc>
          <w:tcPr>
            <w:tcW w:w="1386" w:type="dxa"/>
            <w:tcBorders>
              <w:top w:val="nil"/>
              <w:left w:val="nil"/>
              <w:bottom w:val="nil"/>
              <w:right w:val="nil"/>
            </w:tcBorders>
            <w:shd w:val="clear" w:color="auto" w:fill="auto"/>
            <w:noWrap/>
            <w:vAlign w:val="bottom"/>
            <w:hideMark/>
          </w:tcPr>
          <w:p w14:paraId="04AC72EF" w14:textId="77777777" w:rsidR="00C31EC8" w:rsidRPr="00D51EF4" w:rsidRDefault="00C31EC8" w:rsidP="003736FF">
            <w:pPr>
              <w:jc w:val="center"/>
              <w:rPr>
                <w:rFonts w:ascii="Arial" w:hAnsi="Arial" w:cs="Arial"/>
                <w:sz w:val="20"/>
                <w:szCs w:val="20"/>
                <w:lang w:val="en-GB" w:eastAsia="en-US"/>
              </w:rPr>
            </w:pPr>
            <w:r w:rsidRPr="00D51EF4">
              <w:rPr>
                <w:rFonts w:ascii="Arial" w:hAnsi="Arial" w:cs="Arial"/>
                <w:sz w:val="20"/>
                <w:szCs w:val="20"/>
                <w:lang w:val="en-GB" w:eastAsia="en-US"/>
              </w:rPr>
              <w:t>-1.21</w:t>
            </w:r>
          </w:p>
        </w:tc>
        <w:tc>
          <w:tcPr>
            <w:tcW w:w="1561" w:type="dxa"/>
            <w:tcBorders>
              <w:top w:val="nil"/>
              <w:left w:val="nil"/>
              <w:bottom w:val="nil"/>
              <w:right w:val="nil"/>
            </w:tcBorders>
            <w:shd w:val="clear" w:color="auto" w:fill="auto"/>
            <w:noWrap/>
            <w:vAlign w:val="bottom"/>
          </w:tcPr>
          <w:p w14:paraId="66C1E229" w14:textId="77777777" w:rsidR="00C31EC8" w:rsidRPr="00D51EF4" w:rsidRDefault="00C31EC8" w:rsidP="003736FF">
            <w:pPr>
              <w:jc w:val="center"/>
              <w:rPr>
                <w:rFonts w:ascii="Arial" w:hAnsi="Arial" w:cs="Arial"/>
                <w:sz w:val="20"/>
                <w:szCs w:val="20"/>
                <w:lang w:val="en-GB" w:eastAsia="en-US"/>
              </w:rPr>
            </w:pPr>
          </w:p>
        </w:tc>
      </w:tr>
      <w:tr w:rsidR="00C31EC8" w:rsidRPr="00D51EF4" w14:paraId="0D4144C0" w14:textId="77777777" w:rsidTr="00A845F0">
        <w:trPr>
          <w:trHeight w:val="300"/>
        </w:trPr>
        <w:tc>
          <w:tcPr>
            <w:tcW w:w="1940" w:type="dxa"/>
            <w:tcBorders>
              <w:top w:val="nil"/>
              <w:left w:val="nil"/>
              <w:bottom w:val="nil"/>
              <w:right w:val="nil"/>
            </w:tcBorders>
            <w:shd w:val="clear" w:color="auto" w:fill="auto"/>
            <w:noWrap/>
            <w:vAlign w:val="bottom"/>
            <w:hideMark/>
          </w:tcPr>
          <w:p w14:paraId="34EB7E0B" w14:textId="77777777" w:rsidR="00C31EC8" w:rsidRPr="00D51EF4" w:rsidRDefault="00C31EC8" w:rsidP="003736FF">
            <w:pPr>
              <w:rPr>
                <w:rFonts w:ascii="Calibri" w:hAnsi="Calibri" w:cs="Calibri"/>
                <w:color w:val="000000"/>
                <w:lang w:val="en-GB" w:eastAsia="en-US"/>
              </w:rPr>
            </w:pPr>
            <w:r w:rsidRPr="00D51EF4">
              <w:rPr>
                <w:rFonts w:ascii="Calibri" w:hAnsi="Calibri" w:cs="Calibri"/>
                <w:color w:val="000000"/>
                <w:sz w:val="22"/>
                <w:szCs w:val="22"/>
                <w:lang w:val="en-GB" w:eastAsia="en-US"/>
              </w:rPr>
              <w:t>PAR30</w:t>
            </w:r>
          </w:p>
        </w:tc>
        <w:tc>
          <w:tcPr>
            <w:tcW w:w="1294" w:type="dxa"/>
            <w:tcBorders>
              <w:top w:val="nil"/>
              <w:left w:val="nil"/>
              <w:bottom w:val="nil"/>
              <w:right w:val="nil"/>
            </w:tcBorders>
            <w:shd w:val="clear" w:color="auto" w:fill="auto"/>
            <w:noWrap/>
            <w:vAlign w:val="bottom"/>
            <w:hideMark/>
          </w:tcPr>
          <w:p w14:paraId="494F4A41" w14:textId="77777777" w:rsidR="00C31EC8" w:rsidRPr="00D51EF4" w:rsidRDefault="00C31EC8" w:rsidP="003736FF">
            <w:pPr>
              <w:jc w:val="center"/>
              <w:rPr>
                <w:rFonts w:ascii="Arial" w:hAnsi="Arial" w:cs="Arial"/>
                <w:sz w:val="20"/>
                <w:szCs w:val="20"/>
                <w:lang w:val="en-GB" w:eastAsia="en-US"/>
              </w:rPr>
            </w:pPr>
            <w:r w:rsidRPr="00D51EF4">
              <w:rPr>
                <w:rFonts w:ascii="Arial" w:hAnsi="Arial" w:cs="Arial"/>
                <w:sz w:val="20"/>
                <w:szCs w:val="20"/>
                <w:lang w:val="en-GB" w:eastAsia="en-US"/>
              </w:rPr>
              <w:t>-6.77***</w:t>
            </w:r>
          </w:p>
        </w:tc>
        <w:tc>
          <w:tcPr>
            <w:tcW w:w="1386" w:type="dxa"/>
            <w:tcBorders>
              <w:top w:val="nil"/>
              <w:left w:val="nil"/>
              <w:bottom w:val="nil"/>
              <w:right w:val="nil"/>
            </w:tcBorders>
            <w:shd w:val="clear" w:color="auto" w:fill="auto"/>
            <w:noWrap/>
            <w:vAlign w:val="bottom"/>
            <w:hideMark/>
          </w:tcPr>
          <w:p w14:paraId="01E08CCA" w14:textId="77777777" w:rsidR="00C31EC8" w:rsidRPr="00D51EF4" w:rsidRDefault="00C31EC8" w:rsidP="003736FF">
            <w:pPr>
              <w:jc w:val="center"/>
              <w:rPr>
                <w:rFonts w:ascii="Arial" w:hAnsi="Arial" w:cs="Arial"/>
                <w:sz w:val="20"/>
                <w:szCs w:val="20"/>
                <w:lang w:val="en-GB" w:eastAsia="en-US"/>
              </w:rPr>
            </w:pPr>
            <w:r w:rsidRPr="00D51EF4">
              <w:rPr>
                <w:rFonts w:ascii="Arial" w:hAnsi="Arial" w:cs="Arial"/>
                <w:sz w:val="20"/>
                <w:szCs w:val="20"/>
                <w:lang w:val="en-GB" w:eastAsia="en-US"/>
              </w:rPr>
              <w:t>-16.53***</w:t>
            </w:r>
          </w:p>
        </w:tc>
        <w:tc>
          <w:tcPr>
            <w:tcW w:w="1561" w:type="dxa"/>
            <w:tcBorders>
              <w:top w:val="nil"/>
              <w:left w:val="nil"/>
              <w:bottom w:val="nil"/>
              <w:right w:val="nil"/>
            </w:tcBorders>
            <w:shd w:val="clear" w:color="auto" w:fill="auto"/>
            <w:noWrap/>
            <w:vAlign w:val="bottom"/>
          </w:tcPr>
          <w:p w14:paraId="1E85C773" w14:textId="77777777" w:rsidR="00C31EC8" w:rsidRPr="00D51EF4" w:rsidRDefault="00C31EC8" w:rsidP="003736FF">
            <w:pPr>
              <w:jc w:val="center"/>
              <w:rPr>
                <w:rFonts w:ascii="Arial" w:hAnsi="Arial" w:cs="Arial"/>
                <w:sz w:val="20"/>
                <w:szCs w:val="20"/>
                <w:lang w:val="en-GB" w:eastAsia="en-US"/>
              </w:rPr>
            </w:pPr>
          </w:p>
        </w:tc>
      </w:tr>
      <w:tr w:rsidR="00C31EC8" w:rsidRPr="00D51EF4" w14:paraId="2D865C3C" w14:textId="77777777" w:rsidTr="00A845F0">
        <w:trPr>
          <w:trHeight w:val="300"/>
        </w:trPr>
        <w:tc>
          <w:tcPr>
            <w:tcW w:w="1940" w:type="dxa"/>
            <w:tcBorders>
              <w:top w:val="nil"/>
              <w:left w:val="nil"/>
              <w:bottom w:val="nil"/>
              <w:right w:val="nil"/>
            </w:tcBorders>
            <w:shd w:val="clear" w:color="auto" w:fill="auto"/>
            <w:noWrap/>
            <w:vAlign w:val="bottom"/>
            <w:hideMark/>
          </w:tcPr>
          <w:p w14:paraId="1BF7262F" w14:textId="77777777" w:rsidR="00C31EC8" w:rsidRPr="00D51EF4" w:rsidRDefault="00C31EC8" w:rsidP="003736FF">
            <w:pPr>
              <w:rPr>
                <w:rFonts w:ascii="Calibri" w:hAnsi="Calibri" w:cs="Calibri"/>
                <w:color w:val="000000"/>
                <w:lang w:val="en-GB" w:eastAsia="en-US"/>
              </w:rPr>
            </w:pPr>
          </w:p>
        </w:tc>
        <w:tc>
          <w:tcPr>
            <w:tcW w:w="1294" w:type="dxa"/>
            <w:tcBorders>
              <w:top w:val="nil"/>
              <w:left w:val="nil"/>
              <w:bottom w:val="nil"/>
              <w:right w:val="nil"/>
            </w:tcBorders>
            <w:shd w:val="clear" w:color="auto" w:fill="auto"/>
            <w:noWrap/>
            <w:vAlign w:val="bottom"/>
            <w:hideMark/>
          </w:tcPr>
          <w:p w14:paraId="7380A7E5" w14:textId="77777777" w:rsidR="00C31EC8" w:rsidRPr="00D51EF4" w:rsidRDefault="00C31EC8" w:rsidP="003736FF">
            <w:pPr>
              <w:jc w:val="center"/>
              <w:rPr>
                <w:rFonts w:ascii="Calibri" w:hAnsi="Calibri" w:cs="Calibri"/>
                <w:color w:val="000000"/>
                <w:lang w:val="en-GB" w:eastAsia="en-US"/>
              </w:rPr>
            </w:pPr>
          </w:p>
        </w:tc>
        <w:tc>
          <w:tcPr>
            <w:tcW w:w="1386" w:type="dxa"/>
            <w:tcBorders>
              <w:top w:val="nil"/>
              <w:left w:val="nil"/>
              <w:bottom w:val="nil"/>
              <w:right w:val="nil"/>
            </w:tcBorders>
            <w:shd w:val="clear" w:color="auto" w:fill="auto"/>
            <w:noWrap/>
            <w:vAlign w:val="bottom"/>
            <w:hideMark/>
          </w:tcPr>
          <w:p w14:paraId="29B5FFB1" w14:textId="77777777" w:rsidR="00C31EC8" w:rsidRPr="00D51EF4" w:rsidRDefault="00C31EC8" w:rsidP="003736FF">
            <w:pPr>
              <w:jc w:val="center"/>
              <w:rPr>
                <w:rFonts w:ascii="Calibri" w:hAnsi="Calibri" w:cs="Calibri"/>
                <w:color w:val="000000"/>
                <w:lang w:val="en-GB" w:eastAsia="en-US"/>
              </w:rPr>
            </w:pPr>
          </w:p>
        </w:tc>
        <w:tc>
          <w:tcPr>
            <w:tcW w:w="1561" w:type="dxa"/>
            <w:tcBorders>
              <w:top w:val="nil"/>
              <w:left w:val="nil"/>
              <w:bottom w:val="nil"/>
              <w:right w:val="nil"/>
            </w:tcBorders>
            <w:shd w:val="clear" w:color="auto" w:fill="auto"/>
            <w:noWrap/>
            <w:vAlign w:val="bottom"/>
          </w:tcPr>
          <w:p w14:paraId="461EFABF" w14:textId="77777777" w:rsidR="00C31EC8" w:rsidRPr="00D51EF4" w:rsidRDefault="00C31EC8" w:rsidP="003736FF">
            <w:pPr>
              <w:jc w:val="center"/>
              <w:rPr>
                <w:rFonts w:ascii="Calibri" w:hAnsi="Calibri" w:cs="Calibri"/>
                <w:color w:val="000000"/>
                <w:lang w:val="en-GB" w:eastAsia="en-US"/>
              </w:rPr>
            </w:pPr>
          </w:p>
        </w:tc>
      </w:tr>
      <w:tr w:rsidR="00C31EC8" w:rsidRPr="00D51EF4" w14:paraId="30078577" w14:textId="77777777" w:rsidTr="00A845F0">
        <w:trPr>
          <w:trHeight w:val="300"/>
        </w:trPr>
        <w:tc>
          <w:tcPr>
            <w:tcW w:w="1940" w:type="dxa"/>
            <w:tcBorders>
              <w:top w:val="nil"/>
              <w:left w:val="nil"/>
              <w:bottom w:val="nil"/>
              <w:right w:val="nil"/>
            </w:tcBorders>
            <w:shd w:val="clear" w:color="auto" w:fill="auto"/>
            <w:noWrap/>
            <w:vAlign w:val="bottom"/>
            <w:hideMark/>
          </w:tcPr>
          <w:p w14:paraId="168D4463" w14:textId="77777777" w:rsidR="00C31EC8" w:rsidRPr="00D51EF4" w:rsidRDefault="00C31EC8" w:rsidP="003736FF">
            <w:pPr>
              <w:rPr>
                <w:rFonts w:ascii="Arial" w:hAnsi="Arial" w:cs="Arial"/>
                <w:i/>
                <w:iCs/>
                <w:sz w:val="20"/>
                <w:szCs w:val="20"/>
                <w:lang w:val="en-GB" w:eastAsia="en-US"/>
              </w:rPr>
            </w:pPr>
            <w:r w:rsidRPr="00D51EF4">
              <w:rPr>
                <w:rFonts w:ascii="Arial" w:hAnsi="Arial" w:cs="Arial"/>
                <w:i/>
                <w:iCs/>
                <w:sz w:val="20"/>
                <w:szCs w:val="20"/>
                <w:lang w:val="en-GB" w:eastAsia="en-US"/>
              </w:rPr>
              <w:t>CONTROLS:</w:t>
            </w:r>
          </w:p>
        </w:tc>
        <w:tc>
          <w:tcPr>
            <w:tcW w:w="1294" w:type="dxa"/>
            <w:tcBorders>
              <w:top w:val="nil"/>
              <w:left w:val="nil"/>
              <w:bottom w:val="nil"/>
              <w:right w:val="nil"/>
            </w:tcBorders>
            <w:shd w:val="clear" w:color="auto" w:fill="auto"/>
            <w:noWrap/>
            <w:vAlign w:val="bottom"/>
            <w:hideMark/>
          </w:tcPr>
          <w:p w14:paraId="44855498" w14:textId="77777777" w:rsidR="00C31EC8" w:rsidRPr="00D51EF4" w:rsidRDefault="00C31EC8" w:rsidP="003736FF">
            <w:pPr>
              <w:jc w:val="center"/>
              <w:rPr>
                <w:rFonts w:ascii="Calibri" w:hAnsi="Calibri" w:cs="Calibri"/>
                <w:color w:val="000000"/>
                <w:lang w:val="en-GB" w:eastAsia="en-US"/>
              </w:rPr>
            </w:pPr>
          </w:p>
        </w:tc>
        <w:tc>
          <w:tcPr>
            <w:tcW w:w="1386" w:type="dxa"/>
            <w:tcBorders>
              <w:top w:val="nil"/>
              <w:left w:val="nil"/>
              <w:bottom w:val="nil"/>
              <w:right w:val="nil"/>
            </w:tcBorders>
            <w:shd w:val="clear" w:color="auto" w:fill="auto"/>
            <w:noWrap/>
            <w:vAlign w:val="bottom"/>
            <w:hideMark/>
          </w:tcPr>
          <w:p w14:paraId="4A0B21C3" w14:textId="77777777" w:rsidR="00C31EC8" w:rsidRPr="00D51EF4" w:rsidRDefault="00C31EC8" w:rsidP="003736FF">
            <w:pPr>
              <w:jc w:val="center"/>
              <w:rPr>
                <w:rFonts w:ascii="Calibri" w:hAnsi="Calibri" w:cs="Calibri"/>
                <w:color w:val="000000"/>
                <w:lang w:val="en-GB" w:eastAsia="en-US"/>
              </w:rPr>
            </w:pPr>
          </w:p>
        </w:tc>
        <w:tc>
          <w:tcPr>
            <w:tcW w:w="1561" w:type="dxa"/>
            <w:tcBorders>
              <w:top w:val="nil"/>
              <w:left w:val="nil"/>
              <w:bottom w:val="nil"/>
              <w:right w:val="nil"/>
            </w:tcBorders>
            <w:shd w:val="clear" w:color="auto" w:fill="auto"/>
            <w:noWrap/>
            <w:vAlign w:val="bottom"/>
          </w:tcPr>
          <w:p w14:paraId="281B07D0" w14:textId="77777777" w:rsidR="00C31EC8" w:rsidRPr="00D51EF4" w:rsidRDefault="00C31EC8" w:rsidP="003736FF">
            <w:pPr>
              <w:jc w:val="center"/>
              <w:rPr>
                <w:rFonts w:ascii="Calibri" w:hAnsi="Calibri" w:cs="Calibri"/>
                <w:color w:val="000000"/>
                <w:lang w:val="en-GB" w:eastAsia="en-US"/>
              </w:rPr>
            </w:pPr>
          </w:p>
        </w:tc>
      </w:tr>
      <w:tr w:rsidR="00C31EC8" w:rsidRPr="00D51EF4" w14:paraId="651DDFC2" w14:textId="77777777" w:rsidTr="00A845F0">
        <w:trPr>
          <w:trHeight w:val="300"/>
        </w:trPr>
        <w:tc>
          <w:tcPr>
            <w:tcW w:w="1940" w:type="dxa"/>
            <w:tcBorders>
              <w:top w:val="nil"/>
              <w:left w:val="nil"/>
              <w:bottom w:val="nil"/>
              <w:right w:val="nil"/>
            </w:tcBorders>
            <w:shd w:val="clear" w:color="auto" w:fill="auto"/>
            <w:noWrap/>
            <w:vAlign w:val="bottom"/>
            <w:hideMark/>
          </w:tcPr>
          <w:p w14:paraId="2B97E3F9" w14:textId="77777777" w:rsidR="00C31EC8" w:rsidRPr="00D51EF4" w:rsidRDefault="00C31EC8" w:rsidP="003736FF">
            <w:pPr>
              <w:rPr>
                <w:rFonts w:ascii="Arial" w:hAnsi="Arial" w:cs="Arial"/>
                <w:sz w:val="20"/>
                <w:szCs w:val="20"/>
                <w:lang w:val="en-GB" w:eastAsia="en-US"/>
              </w:rPr>
            </w:pPr>
            <w:r w:rsidRPr="00D51EF4">
              <w:rPr>
                <w:rFonts w:ascii="Arial" w:hAnsi="Arial" w:cs="Arial"/>
                <w:sz w:val="20"/>
                <w:szCs w:val="20"/>
                <w:lang w:val="en-GB" w:eastAsia="en-US"/>
              </w:rPr>
              <w:t>HDI</w:t>
            </w:r>
          </w:p>
        </w:tc>
        <w:tc>
          <w:tcPr>
            <w:tcW w:w="1294" w:type="dxa"/>
            <w:tcBorders>
              <w:top w:val="nil"/>
              <w:left w:val="nil"/>
              <w:bottom w:val="nil"/>
              <w:right w:val="nil"/>
            </w:tcBorders>
            <w:shd w:val="clear" w:color="auto" w:fill="auto"/>
            <w:noWrap/>
            <w:vAlign w:val="bottom"/>
            <w:hideMark/>
          </w:tcPr>
          <w:p w14:paraId="7D1194B4" w14:textId="77777777" w:rsidR="00C31EC8" w:rsidRPr="00D51EF4" w:rsidRDefault="00C31EC8" w:rsidP="003736FF">
            <w:pPr>
              <w:jc w:val="center"/>
              <w:rPr>
                <w:rFonts w:ascii="Arial" w:hAnsi="Arial" w:cs="Arial"/>
                <w:sz w:val="20"/>
                <w:szCs w:val="20"/>
                <w:lang w:val="en-GB" w:eastAsia="en-US"/>
              </w:rPr>
            </w:pPr>
            <w:r w:rsidRPr="00D51EF4">
              <w:rPr>
                <w:rFonts w:ascii="Arial" w:hAnsi="Arial" w:cs="Arial"/>
                <w:sz w:val="20"/>
                <w:szCs w:val="20"/>
                <w:lang w:val="en-GB" w:eastAsia="en-US"/>
              </w:rPr>
              <w:t>3.10***</w:t>
            </w:r>
          </w:p>
        </w:tc>
        <w:tc>
          <w:tcPr>
            <w:tcW w:w="1386" w:type="dxa"/>
            <w:tcBorders>
              <w:top w:val="nil"/>
              <w:left w:val="nil"/>
              <w:bottom w:val="nil"/>
              <w:right w:val="nil"/>
            </w:tcBorders>
            <w:shd w:val="clear" w:color="auto" w:fill="auto"/>
            <w:noWrap/>
            <w:vAlign w:val="bottom"/>
            <w:hideMark/>
          </w:tcPr>
          <w:p w14:paraId="2682C803" w14:textId="77777777" w:rsidR="00C31EC8" w:rsidRPr="00D51EF4" w:rsidRDefault="00C31EC8" w:rsidP="003736FF">
            <w:pPr>
              <w:jc w:val="center"/>
              <w:rPr>
                <w:rFonts w:ascii="Arial" w:hAnsi="Arial" w:cs="Arial"/>
                <w:sz w:val="20"/>
                <w:szCs w:val="20"/>
                <w:lang w:val="en-GB" w:eastAsia="en-US"/>
              </w:rPr>
            </w:pPr>
            <w:r w:rsidRPr="00D51EF4">
              <w:rPr>
                <w:rFonts w:ascii="Arial" w:hAnsi="Arial" w:cs="Arial"/>
                <w:sz w:val="20"/>
                <w:szCs w:val="20"/>
                <w:lang w:val="en-GB" w:eastAsia="en-US"/>
              </w:rPr>
              <w:t>2.63**</w:t>
            </w:r>
          </w:p>
        </w:tc>
        <w:tc>
          <w:tcPr>
            <w:tcW w:w="1561" w:type="dxa"/>
            <w:tcBorders>
              <w:top w:val="nil"/>
              <w:left w:val="nil"/>
              <w:bottom w:val="nil"/>
              <w:right w:val="nil"/>
            </w:tcBorders>
            <w:shd w:val="clear" w:color="auto" w:fill="auto"/>
            <w:noWrap/>
            <w:vAlign w:val="bottom"/>
          </w:tcPr>
          <w:p w14:paraId="023FD011" w14:textId="77777777" w:rsidR="00C31EC8" w:rsidRPr="00D51EF4" w:rsidRDefault="00C31EC8" w:rsidP="003736FF">
            <w:pPr>
              <w:jc w:val="center"/>
              <w:rPr>
                <w:rFonts w:ascii="Arial" w:hAnsi="Arial" w:cs="Arial"/>
                <w:sz w:val="20"/>
                <w:szCs w:val="20"/>
                <w:lang w:val="en-GB" w:eastAsia="en-US"/>
              </w:rPr>
            </w:pPr>
          </w:p>
        </w:tc>
      </w:tr>
      <w:tr w:rsidR="00C31EC8" w:rsidRPr="00D51EF4" w14:paraId="2B5C35BF" w14:textId="77777777" w:rsidTr="00A845F0">
        <w:trPr>
          <w:trHeight w:val="300"/>
        </w:trPr>
        <w:tc>
          <w:tcPr>
            <w:tcW w:w="1940" w:type="dxa"/>
            <w:tcBorders>
              <w:top w:val="nil"/>
              <w:left w:val="nil"/>
              <w:bottom w:val="nil"/>
              <w:right w:val="nil"/>
            </w:tcBorders>
            <w:shd w:val="clear" w:color="auto" w:fill="auto"/>
            <w:noWrap/>
            <w:vAlign w:val="bottom"/>
            <w:hideMark/>
          </w:tcPr>
          <w:p w14:paraId="461E0F89" w14:textId="77777777" w:rsidR="00C31EC8" w:rsidRPr="00D51EF4" w:rsidRDefault="00C31EC8" w:rsidP="003736FF">
            <w:pPr>
              <w:rPr>
                <w:rFonts w:ascii="Arial" w:hAnsi="Arial" w:cs="Arial"/>
                <w:sz w:val="20"/>
                <w:szCs w:val="20"/>
                <w:lang w:val="en-GB" w:eastAsia="en-US"/>
              </w:rPr>
            </w:pPr>
            <w:r w:rsidRPr="00D51EF4">
              <w:rPr>
                <w:rFonts w:ascii="Arial" w:hAnsi="Arial" w:cs="Arial"/>
                <w:sz w:val="20"/>
                <w:szCs w:val="20"/>
                <w:lang w:val="en-GB" w:eastAsia="en-US"/>
              </w:rPr>
              <w:t>AGE_MFI</w:t>
            </w:r>
          </w:p>
        </w:tc>
        <w:tc>
          <w:tcPr>
            <w:tcW w:w="1294" w:type="dxa"/>
            <w:tcBorders>
              <w:top w:val="nil"/>
              <w:left w:val="nil"/>
              <w:bottom w:val="nil"/>
              <w:right w:val="nil"/>
            </w:tcBorders>
            <w:shd w:val="clear" w:color="auto" w:fill="auto"/>
            <w:noWrap/>
            <w:vAlign w:val="bottom"/>
            <w:hideMark/>
          </w:tcPr>
          <w:p w14:paraId="0A46E77E" w14:textId="77777777" w:rsidR="00C31EC8" w:rsidRPr="00D51EF4" w:rsidRDefault="00C31EC8" w:rsidP="003736FF">
            <w:pPr>
              <w:jc w:val="center"/>
              <w:rPr>
                <w:rFonts w:ascii="Arial" w:hAnsi="Arial" w:cs="Arial"/>
                <w:sz w:val="20"/>
                <w:szCs w:val="20"/>
                <w:lang w:val="en-GB" w:eastAsia="en-US"/>
              </w:rPr>
            </w:pPr>
            <w:r w:rsidRPr="00D51EF4">
              <w:rPr>
                <w:rFonts w:ascii="Arial" w:hAnsi="Arial" w:cs="Arial"/>
                <w:sz w:val="20"/>
                <w:szCs w:val="20"/>
                <w:lang w:val="en-GB" w:eastAsia="en-US"/>
              </w:rPr>
              <w:t>-0.07***</w:t>
            </w:r>
          </w:p>
        </w:tc>
        <w:tc>
          <w:tcPr>
            <w:tcW w:w="1386" w:type="dxa"/>
            <w:tcBorders>
              <w:top w:val="nil"/>
              <w:left w:val="nil"/>
              <w:bottom w:val="nil"/>
              <w:right w:val="nil"/>
            </w:tcBorders>
            <w:shd w:val="clear" w:color="auto" w:fill="auto"/>
            <w:noWrap/>
            <w:vAlign w:val="bottom"/>
            <w:hideMark/>
          </w:tcPr>
          <w:p w14:paraId="5D2B95C1" w14:textId="77777777" w:rsidR="00C31EC8" w:rsidRPr="00D51EF4" w:rsidRDefault="00C31EC8" w:rsidP="003736FF">
            <w:pPr>
              <w:jc w:val="center"/>
              <w:rPr>
                <w:rFonts w:ascii="Arial" w:hAnsi="Arial" w:cs="Arial"/>
                <w:sz w:val="20"/>
                <w:szCs w:val="20"/>
                <w:lang w:val="en-GB" w:eastAsia="en-US"/>
              </w:rPr>
            </w:pPr>
            <w:r w:rsidRPr="00D51EF4">
              <w:rPr>
                <w:rFonts w:ascii="Arial" w:hAnsi="Arial" w:cs="Arial"/>
                <w:sz w:val="20"/>
                <w:szCs w:val="20"/>
                <w:lang w:val="en-GB" w:eastAsia="en-US"/>
              </w:rPr>
              <w:t>-0.03*</w:t>
            </w:r>
          </w:p>
        </w:tc>
        <w:tc>
          <w:tcPr>
            <w:tcW w:w="1561" w:type="dxa"/>
            <w:tcBorders>
              <w:top w:val="nil"/>
              <w:left w:val="nil"/>
              <w:bottom w:val="nil"/>
              <w:right w:val="nil"/>
            </w:tcBorders>
            <w:shd w:val="clear" w:color="auto" w:fill="auto"/>
            <w:noWrap/>
            <w:vAlign w:val="bottom"/>
          </w:tcPr>
          <w:p w14:paraId="6C1CE3CE" w14:textId="77777777" w:rsidR="00C31EC8" w:rsidRPr="00D51EF4" w:rsidRDefault="00C31EC8" w:rsidP="003736FF">
            <w:pPr>
              <w:jc w:val="center"/>
              <w:rPr>
                <w:rFonts w:ascii="Arial" w:hAnsi="Arial" w:cs="Arial"/>
                <w:sz w:val="20"/>
                <w:szCs w:val="20"/>
                <w:lang w:val="en-GB" w:eastAsia="en-US"/>
              </w:rPr>
            </w:pPr>
          </w:p>
        </w:tc>
      </w:tr>
      <w:tr w:rsidR="00C31EC8" w:rsidRPr="00D51EF4" w14:paraId="71A84F95" w14:textId="77777777" w:rsidTr="00A845F0">
        <w:trPr>
          <w:trHeight w:val="300"/>
        </w:trPr>
        <w:tc>
          <w:tcPr>
            <w:tcW w:w="1940" w:type="dxa"/>
            <w:tcBorders>
              <w:top w:val="nil"/>
              <w:left w:val="nil"/>
              <w:bottom w:val="nil"/>
              <w:right w:val="nil"/>
            </w:tcBorders>
            <w:shd w:val="clear" w:color="auto" w:fill="auto"/>
            <w:noWrap/>
            <w:vAlign w:val="bottom"/>
            <w:hideMark/>
          </w:tcPr>
          <w:p w14:paraId="0B86A70C" w14:textId="4D44982F" w:rsidR="00C31EC8" w:rsidRPr="00D51EF4" w:rsidRDefault="00C31EC8" w:rsidP="003736FF">
            <w:pPr>
              <w:rPr>
                <w:rFonts w:ascii="Arial" w:hAnsi="Arial" w:cs="Arial"/>
                <w:i/>
                <w:iCs/>
                <w:sz w:val="20"/>
                <w:szCs w:val="20"/>
                <w:lang w:val="en-GB" w:eastAsia="en-US"/>
              </w:rPr>
            </w:pPr>
            <w:r w:rsidRPr="00D51EF4">
              <w:rPr>
                <w:rFonts w:ascii="Arial" w:hAnsi="Arial" w:cs="Arial"/>
                <w:i/>
                <w:iCs/>
                <w:sz w:val="20"/>
                <w:szCs w:val="20"/>
                <w:lang w:val="en-GB" w:eastAsia="en-US"/>
              </w:rPr>
              <w:t>Indicator var</w:t>
            </w:r>
            <w:r w:rsidR="00F276D3" w:rsidRPr="00D51EF4">
              <w:rPr>
                <w:rFonts w:ascii="Arial" w:hAnsi="Arial" w:cs="Arial"/>
                <w:i/>
                <w:iCs/>
                <w:sz w:val="20"/>
                <w:szCs w:val="20"/>
                <w:lang w:val="en-GB" w:eastAsia="en-US"/>
              </w:rPr>
              <w:t>.</w:t>
            </w:r>
            <w:r w:rsidRPr="00D51EF4">
              <w:rPr>
                <w:rFonts w:ascii="Arial" w:hAnsi="Arial" w:cs="Arial"/>
                <w:i/>
                <w:iCs/>
                <w:sz w:val="20"/>
                <w:szCs w:val="20"/>
                <w:lang w:val="en-GB" w:eastAsia="en-US"/>
              </w:rPr>
              <w:t>:</w:t>
            </w:r>
          </w:p>
        </w:tc>
        <w:tc>
          <w:tcPr>
            <w:tcW w:w="1294" w:type="dxa"/>
            <w:tcBorders>
              <w:top w:val="nil"/>
              <w:left w:val="nil"/>
              <w:bottom w:val="nil"/>
              <w:right w:val="nil"/>
            </w:tcBorders>
            <w:shd w:val="clear" w:color="auto" w:fill="auto"/>
            <w:noWrap/>
            <w:vAlign w:val="bottom"/>
            <w:hideMark/>
          </w:tcPr>
          <w:p w14:paraId="47C335D9" w14:textId="77777777" w:rsidR="00C31EC8" w:rsidRPr="00D51EF4" w:rsidRDefault="00C31EC8" w:rsidP="003736FF">
            <w:pPr>
              <w:jc w:val="center"/>
              <w:rPr>
                <w:rFonts w:ascii="Calibri" w:hAnsi="Calibri" w:cs="Calibri"/>
                <w:color w:val="000000"/>
                <w:lang w:val="en-GB" w:eastAsia="en-US"/>
              </w:rPr>
            </w:pPr>
          </w:p>
        </w:tc>
        <w:tc>
          <w:tcPr>
            <w:tcW w:w="1386" w:type="dxa"/>
            <w:tcBorders>
              <w:top w:val="nil"/>
              <w:left w:val="nil"/>
              <w:bottom w:val="nil"/>
              <w:right w:val="nil"/>
            </w:tcBorders>
            <w:shd w:val="clear" w:color="auto" w:fill="auto"/>
            <w:noWrap/>
            <w:vAlign w:val="bottom"/>
            <w:hideMark/>
          </w:tcPr>
          <w:p w14:paraId="26F5B268" w14:textId="77777777" w:rsidR="00C31EC8" w:rsidRPr="00D51EF4" w:rsidRDefault="00C31EC8" w:rsidP="003736FF">
            <w:pPr>
              <w:jc w:val="center"/>
              <w:rPr>
                <w:rFonts w:ascii="Calibri" w:hAnsi="Calibri" w:cs="Calibri"/>
                <w:color w:val="000000"/>
                <w:lang w:val="en-GB" w:eastAsia="en-US"/>
              </w:rPr>
            </w:pPr>
          </w:p>
        </w:tc>
        <w:tc>
          <w:tcPr>
            <w:tcW w:w="1561" w:type="dxa"/>
            <w:tcBorders>
              <w:top w:val="nil"/>
              <w:left w:val="nil"/>
              <w:bottom w:val="nil"/>
              <w:right w:val="nil"/>
            </w:tcBorders>
            <w:shd w:val="clear" w:color="auto" w:fill="auto"/>
            <w:noWrap/>
            <w:vAlign w:val="bottom"/>
          </w:tcPr>
          <w:p w14:paraId="3AC9FAD3" w14:textId="77777777" w:rsidR="00C31EC8" w:rsidRPr="00D51EF4" w:rsidRDefault="00C31EC8" w:rsidP="003736FF">
            <w:pPr>
              <w:jc w:val="center"/>
              <w:rPr>
                <w:rFonts w:ascii="Arial" w:hAnsi="Arial" w:cs="Arial"/>
                <w:sz w:val="20"/>
                <w:szCs w:val="20"/>
                <w:lang w:val="en-GB" w:eastAsia="en-US"/>
              </w:rPr>
            </w:pPr>
          </w:p>
        </w:tc>
      </w:tr>
      <w:tr w:rsidR="00C31EC8" w:rsidRPr="00D51EF4" w14:paraId="0E43D9B3" w14:textId="77777777" w:rsidTr="00A845F0">
        <w:trPr>
          <w:trHeight w:val="300"/>
        </w:trPr>
        <w:tc>
          <w:tcPr>
            <w:tcW w:w="1940" w:type="dxa"/>
            <w:tcBorders>
              <w:top w:val="nil"/>
              <w:left w:val="nil"/>
              <w:bottom w:val="nil"/>
              <w:right w:val="nil"/>
            </w:tcBorders>
            <w:shd w:val="clear" w:color="auto" w:fill="auto"/>
            <w:noWrap/>
            <w:vAlign w:val="bottom"/>
            <w:hideMark/>
          </w:tcPr>
          <w:p w14:paraId="61020CA6" w14:textId="77777777" w:rsidR="00C31EC8" w:rsidRPr="00D51EF4" w:rsidRDefault="00C31EC8" w:rsidP="003736FF">
            <w:pPr>
              <w:rPr>
                <w:rFonts w:ascii="Arial" w:hAnsi="Arial" w:cs="Arial"/>
                <w:sz w:val="20"/>
                <w:szCs w:val="20"/>
                <w:lang w:val="en-GB" w:eastAsia="en-US"/>
              </w:rPr>
            </w:pPr>
            <w:r w:rsidRPr="00D51EF4">
              <w:rPr>
                <w:rFonts w:ascii="Arial" w:hAnsi="Arial" w:cs="Arial"/>
                <w:sz w:val="20"/>
                <w:szCs w:val="20"/>
                <w:lang w:val="en-GB" w:eastAsia="en-US"/>
              </w:rPr>
              <w:t>Year</w:t>
            </w:r>
          </w:p>
        </w:tc>
        <w:tc>
          <w:tcPr>
            <w:tcW w:w="1294" w:type="dxa"/>
            <w:tcBorders>
              <w:top w:val="nil"/>
              <w:left w:val="nil"/>
              <w:bottom w:val="nil"/>
              <w:right w:val="nil"/>
            </w:tcBorders>
            <w:shd w:val="clear" w:color="auto" w:fill="auto"/>
            <w:noWrap/>
            <w:vAlign w:val="bottom"/>
            <w:hideMark/>
          </w:tcPr>
          <w:p w14:paraId="26AC3085" w14:textId="77777777" w:rsidR="00C31EC8" w:rsidRPr="00D51EF4" w:rsidRDefault="00C31EC8" w:rsidP="003736FF">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Yes</w:t>
            </w:r>
          </w:p>
        </w:tc>
        <w:tc>
          <w:tcPr>
            <w:tcW w:w="1386" w:type="dxa"/>
            <w:tcBorders>
              <w:top w:val="nil"/>
              <w:left w:val="nil"/>
              <w:bottom w:val="nil"/>
              <w:right w:val="nil"/>
            </w:tcBorders>
            <w:shd w:val="clear" w:color="auto" w:fill="auto"/>
            <w:noWrap/>
            <w:vAlign w:val="bottom"/>
            <w:hideMark/>
          </w:tcPr>
          <w:p w14:paraId="36CE2D97" w14:textId="77777777" w:rsidR="00C31EC8" w:rsidRPr="00D51EF4" w:rsidRDefault="00C31EC8" w:rsidP="003736FF">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Yes</w:t>
            </w:r>
          </w:p>
        </w:tc>
        <w:tc>
          <w:tcPr>
            <w:tcW w:w="1561" w:type="dxa"/>
            <w:tcBorders>
              <w:top w:val="nil"/>
              <w:left w:val="nil"/>
              <w:bottom w:val="nil"/>
              <w:right w:val="nil"/>
            </w:tcBorders>
            <w:shd w:val="clear" w:color="auto" w:fill="auto"/>
            <w:noWrap/>
            <w:vAlign w:val="bottom"/>
          </w:tcPr>
          <w:p w14:paraId="1EB7DA71" w14:textId="77777777" w:rsidR="00C31EC8" w:rsidRPr="00D51EF4" w:rsidRDefault="00C31EC8" w:rsidP="003736FF">
            <w:pPr>
              <w:jc w:val="center"/>
              <w:rPr>
                <w:rFonts w:ascii="Calibri" w:hAnsi="Calibri" w:cs="Calibri"/>
                <w:color w:val="000000"/>
                <w:lang w:val="en-GB" w:eastAsia="en-US"/>
              </w:rPr>
            </w:pPr>
          </w:p>
        </w:tc>
      </w:tr>
      <w:tr w:rsidR="00C31EC8" w:rsidRPr="00D51EF4" w14:paraId="208CE288" w14:textId="77777777" w:rsidTr="00A845F0">
        <w:trPr>
          <w:trHeight w:val="300"/>
        </w:trPr>
        <w:tc>
          <w:tcPr>
            <w:tcW w:w="1940" w:type="dxa"/>
            <w:tcBorders>
              <w:top w:val="nil"/>
              <w:left w:val="nil"/>
              <w:bottom w:val="nil"/>
              <w:right w:val="nil"/>
            </w:tcBorders>
            <w:shd w:val="clear" w:color="auto" w:fill="auto"/>
            <w:noWrap/>
            <w:vAlign w:val="bottom"/>
            <w:hideMark/>
          </w:tcPr>
          <w:p w14:paraId="5C0367CA" w14:textId="77777777" w:rsidR="00C31EC8" w:rsidRPr="00D51EF4" w:rsidRDefault="00C31EC8" w:rsidP="003736FF">
            <w:pPr>
              <w:rPr>
                <w:rFonts w:ascii="Calibri" w:hAnsi="Calibri" w:cs="Calibri"/>
                <w:color w:val="000000"/>
                <w:lang w:val="en-GB" w:eastAsia="en-US"/>
              </w:rPr>
            </w:pPr>
            <w:r w:rsidRPr="00D51EF4">
              <w:rPr>
                <w:rFonts w:ascii="Calibri" w:hAnsi="Calibri" w:cs="Calibri"/>
                <w:color w:val="000000"/>
                <w:sz w:val="22"/>
                <w:szCs w:val="22"/>
                <w:lang w:val="en-GB" w:eastAsia="en-US"/>
              </w:rPr>
              <w:t>Agency</w:t>
            </w:r>
          </w:p>
        </w:tc>
        <w:tc>
          <w:tcPr>
            <w:tcW w:w="1294" w:type="dxa"/>
            <w:tcBorders>
              <w:top w:val="nil"/>
              <w:left w:val="nil"/>
              <w:bottom w:val="nil"/>
              <w:right w:val="nil"/>
            </w:tcBorders>
            <w:shd w:val="clear" w:color="auto" w:fill="auto"/>
            <w:noWrap/>
            <w:vAlign w:val="bottom"/>
            <w:hideMark/>
          </w:tcPr>
          <w:p w14:paraId="09B1A054" w14:textId="77777777" w:rsidR="00C31EC8" w:rsidRPr="00D51EF4" w:rsidRDefault="00C31EC8" w:rsidP="003736FF">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Yes</w:t>
            </w:r>
          </w:p>
        </w:tc>
        <w:tc>
          <w:tcPr>
            <w:tcW w:w="1386" w:type="dxa"/>
            <w:tcBorders>
              <w:top w:val="nil"/>
              <w:left w:val="nil"/>
              <w:bottom w:val="nil"/>
              <w:right w:val="nil"/>
            </w:tcBorders>
            <w:shd w:val="clear" w:color="auto" w:fill="auto"/>
            <w:noWrap/>
            <w:vAlign w:val="bottom"/>
            <w:hideMark/>
          </w:tcPr>
          <w:p w14:paraId="7E607839" w14:textId="77777777" w:rsidR="00C31EC8" w:rsidRPr="00D51EF4" w:rsidRDefault="00C31EC8" w:rsidP="003736FF">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Yes</w:t>
            </w:r>
          </w:p>
        </w:tc>
        <w:tc>
          <w:tcPr>
            <w:tcW w:w="1561" w:type="dxa"/>
            <w:tcBorders>
              <w:top w:val="nil"/>
              <w:left w:val="nil"/>
              <w:bottom w:val="nil"/>
              <w:right w:val="nil"/>
            </w:tcBorders>
            <w:shd w:val="clear" w:color="auto" w:fill="auto"/>
            <w:noWrap/>
            <w:vAlign w:val="bottom"/>
          </w:tcPr>
          <w:p w14:paraId="55F12E5F" w14:textId="77777777" w:rsidR="00C31EC8" w:rsidRPr="00D51EF4" w:rsidRDefault="00C31EC8" w:rsidP="003736FF">
            <w:pPr>
              <w:jc w:val="center"/>
              <w:rPr>
                <w:rFonts w:ascii="Calibri" w:hAnsi="Calibri" w:cs="Calibri"/>
                <w:color w:val="000000"/>
                <w:lang w:val="en-GB" w:eastAsia="en-US"/>
              </w:rPr>
            </w:pPr>
          </w:p>
        </w:tc>
      </w:tr>
      <w:tr w:rsidR="00C31EC8" w:rsidRPr="00D51EF4" w14:paraId="5B3098B4" w14:textId="77777777" w:rsidTr="00A845F0">
        <w:trPr>
          <w:trHeight w:val="300"/>
        </w:trPr>
        <w:tc>
          <w:tcPr>
            <w:tcW w:w="1940" w:type="dxa"/>
            <w:tcBorders>
              <w:top w:val="nil"/>
              <w:left w:val="nil"/>
              <w:bottom w:val="nil"/>
              <w:right w:val="nil"/>
            </w:tcBorders>
            <w:shd w:val="clear" w:color="auto" w:fill="auto"/>
            <w:noWrap/>
            <w:vAlign w:val="bottom"/>
            <w:hideMark/>
          </w:tcPr>
          <w:p w14:paraId="57DB4416" w14:textId="77777777" w:rsidR="00C31EC8" w:rsidRPr="00D51EF4" w:rsidRDefault="00C31EC8" w:rsidP="003736FF">
            <w:pPr>
              <w:rPr>
                <w:rFonts w:ascii="Calibri" w:hAnsi="Calibri" w:cs="Calibri"/>
                <w:color w:val="000000"/>
                <w:lang w:val="en-GB" w:eastAsia="en-US"/>
              </w:rPr>
            </w:pPr>
          </w:p>
        </w:tc>
        <w:tc>
          <w:tcPr>
            <w:tcW w:w="1294" w:type="dxa"/>
            <w:tcBorders>
              <w:top w:val="nil"/>
              <w:left w:val="nil"/>
              <w:bottom w:val="nil"/>
              <w:right w:val="nil"/>
            </w:tcBorders>
            <w:shd w:val="clear" w:color="auto" w:fill="auto"/>
            <w:noWrap/>
            <w:vAlign w:val="bottom"/>
            <w:hideMark/>
          </w:tcPr>
          <w:p w14:paraId="11CFE12D" w14:textId="77777777" w:rsidR="00C31EC8" w:rsidRPr="00D51EF4" w:rsidRDefault="00C31EC8" w:rsidP="003736FF">
            <w:pPr>
              <w:jc w:val="center"/>
              <w:rPr>
                <w:rFonts w:ascii="Calibri" w:hAnsi="Calibri" w:cs="Calibri"/>
                <w:color w:val="000000"/>
                <w:lang w:val="en-GB" w:eastAsia="en-US"/>
              </w:rPr>
            </w:pPr>
          </w:p>
        </w:tc>
        <w:tc>
          <w:tcPr>
            <w:tcW w:w="1386" w:type="dxa"/>
            <w:tcBorders>
              <w:top w:val="nil"/>
              <w:left w:val="nil"/>
              <w:bottom w:val="nil"/>
              <w:right w:val="nil"/>
            </w:tcBorders>
            <w:shd w:val="clear" w:color="auto" w:fill="auto"/>
            <w:noWrap/>
            <w:vAlign w:val="bottom"/>
            <w:hideMark/>
          </w:tcPr>
          <w:p w14:paraId="6EFE4560" w14:textId="77777777" w:rsidR="00C31EC8" w:rsidRPr="00D51EF4" w:rsidRDefault="00C31EC8" w:rsidP="003736FF">
            <w:pPr>
              <w:jc w:val="center"/>
              <w:rPr>
                <w:rFonts w:ascii="Calibri" w:hAnsi="Calibri" w:cs="Calibri"/>
                <w:color w:val="000000"/>
                <w:lang w:val="en-GB" w:eastAsia="en-US"/>
              </w:rPr>
            </w:pPr>
          </w:p>
        </w:tc>
        <w:tc>
          <w:tcPr>
            <w:tcW w:w="1561" w:type="dxa"/>
            <w:tcBorders>
              <w:top w:val="nil"/>
              <w:left w:val="nil"/>
              <w:bottom w:val="nil"/>
              <w:right w:val="nil"/>
            </w:tcBorders>
            <w:shd w:val="clear" w:color="auto" w:fill="auto"/>
            <w:noWrap/>
            <w:vAlign w:val="bottom"/>
          </w:tcPr>
          <w:p w14:paraId="2BB85F66" w14:textId="77777777" w:rsidR="00C31EC8" w:rsidRPr="00D51EF4" w:rsidRDefault="00C31EC8" w:rsidP="003736FF">
            <w:pPr>
              <w:jc w:val="center"/>
              <w:rPr>
                <w:rFonts w:ascii="Arial" w:hAnsi="Arial" w:cs="Arial"/>
                <w:sz w:val="20"/>
                <w:szCs w:val="20"/>
                <w:lang w:val="en-GB" w:eastAsia="en-US"/>
              </w:rPr>
            </w:pPr>
          </w:p>
        </w:tc>
      </w:tr>
      <w:tr w:rsidR="00C31EC8" w:rsidRPr="00D51EF4" w14:paraId="11D8205E" w14:textId="77777777" w:rsidTr="00A845F0">
        <w:trPr>
          <w:trHeight w:val="300"/>
        </w:trPr>
        <w:tc>
          <w:tcPr>
            <w:tcW w:w="1940" w:type="dxa"/>
            <w:tcBorders>
              <w:top w:val="nil"/>
              <w:left w:val="nil"/>
              <w:bottom w:val="nil"/>
              <w:right w:val="nil"/>
            </w:tcBorders>
            <w:shd w:val="clear" w:color="auto" w:fill="auto"/>
            <w:noWrap/>
            <w:vAlign w:val="bottom"/>
            <w:hideMark/>
          </w:tcPr>
          <w:p w14:paraId="725F2A9F" w14:textId="77777777" w:rsidR="00C31EC8" w:rsidRPr="00D51EF4" w:rsidRDefault="00C31EC8" w:rsidP="003736FF">
            <w:pPr>
              <w:rPr>
                <w:rFonts w:ascii="Calibri" w:hAnsi="Calibri" w:cs="Calibri"/>
                <w:color w:val="000000"/>
                <w:lang w:val="en-GB" w:eastAsia="en-US"/>
              </w:rPr>
            </w:pPr>
            <w:r w:rsidRPr="00D51EF4">
              <w:rPr>
                <w:rFonts w:ascii="Calibri" w:hAnsi="Calibri" w:cs="Calibri"/>
                <w:color w:val="000000"/>
                <w:sz w:val="22"/>
                <w:szCs w:val="22"/>
                <w:lang w:val="en-GB" w:eastAsia="en-US"/>
              </w:rPr>
              <w:t>Pseudo R</w:t>
            </w:r>
            <w:r w:rsidRPr="00D51EF4">
              <w:rPr>
                <w:rFonts w:ascii="Arial" w:hAnsi="Arial" w:cs="Arial"/>
                <w:sz w:val="20"/>
                <w:szCs w:val="20"/>
                <w:vertAlign w:val="superscript"/>
                <w:lang w:val="en-GB" w:eastAsia="en-US"/>
              </w:rPr>
              <w:t xml:space="preserve">2 </w:t>
            </w:r>
          </w:p>
        </w:tc>
        <w:tc>
          <w:tcPr>
            <w:tcW w:w="1294" w:type="dxa"/>
            <w:tcBorders>
              <w:top w:val="nil"/>
              <w:left w:val="nil"/>
              <w:bottom w:val="nil"/>
              <w:right w:val="nil"/>
            </w:tcBorders>
            <w:shd w:val="clear" w:color="auto" w:fill="auto"/>
            <w:noWrap/>
            <w:vAlign w:val="bottom"/>
            <w:hideMark/>
          </w:tcPr>
          <w:p w14:paraId="47F311EB" w14:textId="77777777" w:rsidR="00C31EC8" w:rsidRPr="00D51EF4" w:rsidRDefault="00C31EC8" w:rsidP="003736FF">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21.75 %</w:t>
            </w:r>
          </w:p>
        </w:tc>
        <w:tc>
          <w:tcPr>
            <w:tcW w:w="1386" w:type="dxa"/>
            <w:tcBorders>
              <w:top w:val="nil"/>
              <w:left w:val="nil"/>
              <w:bottom w:val="nil"/>
              <w:right w:val="nil"/>
            </w:tcBorders>
            <w:shd w:val="clear" w:color="auto" w:fill="auto"/>
            <w:noWrap/>
            <w:vAlign w:val="bottom"/>
            <w:hideMark/>
          </w:tcPr>
          <w:p w14:paraId="53033D76" w14:textId="77777777" w:rsidR="00C31EC8" w:rsidRPr="00D51EF4" w:rsidRDefault="00C31EC8" w:rsidP="003736FF">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20.76 %</w:t>
            </w:r>
          </w:p>
        </w:tc>
        <w:tc>
          <w:tcPr>
            <w:tcW w:w="1561" w:type="dxa"/>
            <w:tcBorders>
              <w:top w:val="nil"/>
              <w:left w:val="nil"/>
              <w:bottom w:val="nil"/>
              <w:right w:val="nil"/>
            </w:tcBorders>
            <w:shd w:val="clear" w:color="auto" w:fill="auto"/>
            <w:noWrap/>
            <w:vAlign w:val="bottom"/>
          </w:tcPr>
          <w:p w14:paraId="3E59B095" w14:textId="77777777" w:rsidR="00C31EC8" w:rsidRPr="00D51EF4" w:rsidRDefault="00C31EC8" w:rsidP="003736FF">
            <w:pPr>
              <w:jc w:val="center"/>
              <w:rPr>
                <w:rFonts w:ascii="Arial" w:hAnsi="Arial" w:cs="Arial"/>
                <w:sz w:val="20"/>
                <w:szCs w:val="20"/>
                <w:lang w:val="en-GB" w:eastAsia="en-US"/>
              </w:rPr>
            </w:pPr>
          </w:p>
        </w:tc>
      </w:tr>
      <w:tr w:rsidR="00C31EC8" w:rsidRPr="00D51EF4" w14:paraId="7BCA309A" w14:textId="77777777" w:rsidTr="00A845F0">
        <w:trPr>
          <w:trHeight w:val="300"/>
        </w:trPr>
        <w:tc>
          <w:tcPr>
            <w:tcW w:w="1940" w:type="dxa"/>
            <w:tcBorders>
              <w:top w:val="nil"/>
              <w:left w:val="nil"/>
              <w:bottom w:val="nil"/>
              <w:right w:val="nil"/>
            </w:tcBorders>
            <w:shd w:val="clear" w:color="auto" w:fill="auto"/>
            <w:noWrap/>
            <w:vAlign w:val="bottom"/>
            <w:hideMark/>
          </w:tcPr>
          <w:p w14:paraId="2B5E80A1" w14:textId="04B92171" w:rsidR="00C31EC8" w:rsidRPr="00D51EF4" w:rsidRDefault="00C31EC8" w:rsidP="003736FF">
            <w:pPr>
              <w:rPr>
                <w:rFonts w:ascii="Calibri" w:hAnsi="Calibri" w:cs="Calibri"/>
                <w:color w:val="000000"/>
                <w:lang w:val="en-GB" w:eastAsia="en-US"/>
              </w:rPr>
            </w:pPr>
            <w:r w:rsidRPr="00D51EF4">
              <w:rPr>
                <w:rFonts w:ascii="Calibri" w:hAnsi="Calibri" w:cs="Calibri"/>
                <w:color w:val="000000"/>
                <w:sz w:val="22"/>
                <w:szCs w:val="22"/>
                <w:lang w:val="en-GB" w:eastAsia="en-US"/>
              </w:rPr>
              <w:t>No. obs</w:t>
            </w:r>
            <w:r w:rsidR="00F276D3" w:rsidRPr="00D51EF4">
              <w:rPr>
                <w:rFonts w:ascii="Calibri" w:hAnsi="Calibri" w:cs="Calibri"/>
                <w:color w:val="000000"/>
                <w:sz w:val="22"/>
                <w:szCs w:val="22"/>
                <w:lang w:val="en-GB" w:eastAsia="en-US"/>
              </w:rPr>
              <w:t>.</w:t>
            </w:r>
          </w:p>
        </w:tc>
        <w:tc>
          <w:tcPr>
            <w:tcW w:w="1294" w:type="dxa"/>
            <w:tcBorders>
              <w:top w:val="nil"/>
              <w:left w:val="nil"/>
              <w:bottom w:val="nil"/>
              <w:right w:val="nil"/>
            </w:tcBorders>
            <w:shd w:val="clear" w:color="auto" w:fill="auto"/>
            <w:noWrap/>
            <w:vAlign w:val="bottom"/>
            <w:hideMark/>
          </w:tcPr>
          <w:p w14:paraId="63796918" w14:textId="77777777" w:rsidR="00C31EC8" w:rsidRPr="00D51EF4" w:rsidRDefault="00C31EC8" w:rsidP="003736FF">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135</w:t>
            </w:r>
          </w:p>
        </w:tc>
        <w:tc>
          <w:tcPr>
            <w:tcW w:w="1386" w:type="dxa"/>
            <w:tcBorders>
              <w:top w:val="nil"/>
              <w:left w:val="nil"/>
              <w:bottom w:val="nil"/>
              <w:right w:val="nil"/>
            </w:tcBorders>
            <w:shd w:val="clear" w:color="auto" w:fill="auto"/>
            <w:noWrap/>
            <w:vAlign w:val="bottom"/>
            <w:hideMark/>
          </w:tcPr>
          <w:p w14:paraId="43C197EF" w14:textId="77777777" w:rsidR="00C31EC8" w:rsidRPr="00D51EF4" w:rsidRDefault="00C31EC8" w:rsidP="003736FF">
            <w:pPr>
              <w:jc w:val="center"/>
              <w:rPr>
                <w:rFonts w:ascii="Calibri" w:hAnsi="Calibri" w:cs="Calibri"/>
                <w:color w:val="000000"/>
                <w:lang w:val="en-GB" w:eastAsia="en-US"/>
              </w:rPr>
            </w:pPr>
            <w:r w:rsidRPr="00D51EF4">
              <w:rPr>
                <w:rFonts w:ascii="Calibri" w:hAnsi="Calibri" w:cs="Calibri"/>
                <w:color w:val="000000"/>
                <w:sz w:val="22"/>
                <w:szCs w:val="22"/>
                <w:lang w:val="en-GB" w:eastAsia="en-US"/>
              </w:rPr>
              <w:t>246</w:t>
            </w:r>
          </w:p>
        </w:tc>
        <w:tc>
          <w:tcPr>
            <w:tcW w:w="1561" w:type="dxa"/>
            <w:tcBorders>
              <w:top w:val="nil"/>
              <w:left w:val="nil"/>
              <w:bottom w:val="nil"/>
              <w:right w:val="nil"/>
            </w:tcBorders>
            <w:shd w:val="clear" w:color="auto" w:fill="auto"/>
            <w:noWrap/>
            <w:vAlign w:val="bottom"/>
          </w:tcPr>
          <w:p w14:paraId="74EE79F9" w14:textId="77777777" w:rsidR="00C31EC8" w:rsidRPr="00D51EF4" w:rsidRDefault="00C31EC8" w:rsidP="003736FF">
            <w:pPr>
              <w:jc w:val="center"/>
              <w:rPr>
                <w:rFonts w:ascii="Arial" w:hAnsi="Arial" w:cs="Arial"/>
                <w:sz w:val="20"/>
                <w:szCs w:val="20"/>
                <w:lang w:val="en-GB" w:eastAsia="en-US"/>
              </w:rPr>
            </w:pPr>
          </w:p>
        </w:tc>
      </w:tr>
    </w:tbl>
    <w:p w14:paraId="16B77A8F" w14:textId="77777777" w:rsidR="003736FF" w:rsidRPr="00D51EF4" w:rsidRDefault="003736FF" w:rsidP="003736FF">
      <w:pPr>
        <w:spacing w:line="480" w:lineRule="auto"/>
        <w:jc w:val="both"/>
        <w:rPr>
          <w:lang w:val="en-GB"/>
        </w:rPr>
      </w:pPr>
    </w:p>
    <w:p w14:paraId="17E5881C" w14:textId="5B8F1C63" w:rsidR="003736FF" w:rsidRPr="00D51EF4" w:rsidRDefault="00274BF8" w:rsidP="003736FF">
      <w:pPr>
        <w:autoSpaceDE w:val="0"/>
        <w:autoSpaceDN w:val="0"/>
        <w:adjustRightInd w:val="0"/>
        <w:jc w:val="both"/>
        <w:rPr>
          <w:sz w:val="20"/>
          <w:szCs w:val="20"/>
          <w:lang w:val="en-GB"/>
        </w:rPr>
      </w:pPr>
      <w:r w:rsidRPr="00D51EF4">
        <w:rPr>
          <w:sz w:val="20"/>
          <w:szCs w:val="20"/>
          <w:lang w:val="en-GB"/>
        </w:rPr>
        <w:t xml:space="preserve">Table </w:t>
      </w:r>
      <w:r w:rsidR="00A1711B" w:rsidRPr="00D51EF4">
        <w:rPr>
          <w:sz w:val="20"/>
          <w:szCs w:val="20"/>
          <w:lang w:val="en-GB"/>
        </w:rPr>
        <w:t>6</w:t>
      </w:r>
      <w:r w:rsidR="003736FF" w:rsidRPr="00D51EF4">
        <w:rPr>
          <w:sz w:val="20"/>
          <w:szCs w:val="20"/>
          <w:lang w:val="en-GB"/>
        </w:rPr>
        <w:t xml:space="preserve"> analyses the relevance and information content of earnings by examining the influence of scaled earnings on microfinance ratings (shaded rows)</w:t>
      </w:r>
      <w:r w:rsidR="000F3DA5" w:rsidRPr="00D51EF4">
        <w:rPr>
          <w:sz w:val="20"/>
          <w:szCs w:val="20"/>
          <w:lang w:val="en-GB"/>
        </w:rPr>
        <w:t>.</w:t>
      </w:r>
      <w:r w:rsidR="003736FF" w:rsidRPr="00D51EF4">
        <w:rPr>
          <w:sz w:val="20"/>
          <w:szCs w:val="20"/>
          <w:lang w:val="en-GB"/>
        </w:rPr>
        <w:t xml:space="preserve"> The table reports regression coefficients, explanatory power (pseudo R</w:t>
      </w:r>
      <w:r w:rsidR="003736FF" w:rsidRPr="00D51EF4">
        <w:rPr>
          <w:sz w:val="20"/>
          <w:szCs w:val="20"/>
          <w:vertAlign w:val="superscript"/>
          <w:lang w:val="en-GB"/>
        </w:rPr>
        <w:t>2</w:t>
      </w:r>
      <w:r w:rsidR="003736FF" w:rsidRPr="00D51EF4">
        <w:rPr>
          <w:sz w:val="20"/>
          <w:szCs w:val="20"/>
          <w:lang w:val="en-GB"/>
        </w:rPr>
        <w:t xml:space="preserve">), and </w:t>
      </w:r>
      <w:r w:rsidR="00F276D3" w:rsidRPr="00D51EF4">
        <w:rPr>
          <w:sz w:val="20"/>
          <w:szCs w:val="20"/>
          <w:lang w:val="en-GB"/>
        </w:rPr>
        <w:t xml:space="preserve">the </w:t>
      </w:r>
      <w:r w:rsidR="003736FF" w:rsidRPr="00D51EF4">
        <w:rPr>
          <w:sz w:val="20"/>
          <w:szCs w:val="20"/>
          <w:lang w:val="en-GB"/>
        </w:rPr>
        <w:t xml:space="preserve">number of observations from the following </w:t>
      </w:r>
      <w:r w:rsidR="000C1740" w:rsidRPr="00D51EF4">
        <w:rPr>
          <w:sz w:val="20"/>
          <w:szCs w:val="20"/>
          <w:lang w:val="en-GB"/>
        </w:rPr>
        <w:t xml:space="preserve">ordered logistic </w:t>
      </w:r>
      <w:r w:rsidR="003736FF" w:rsidRPr="00D51EF4">
        <w:rPr>
          <w:sz w:val="20"/>
          <w:szCs w:val="20"/>
          <w:lang w:val="en-GB"/>
        </w:rPr>
        <w:t xml:space="preserve">regression model:   </w:t>
      </w:r>
    </w:p>
    <w:p w14:paraId="5BA34A93" w14:textId="77777777" w:rsidR="003736FF" w:rsidRPr="00D51EF4" w:rsidRDefault="003736FF" w:rsidP="003736FF">
      <w:pPr>
        <w:autoSpaceDE w:val="0"/>
        <w:autoSpaceDN w:val="0"/>
        <w:adjustRightInd w:val="0"/>
        <w:jc w:val="both"/>
        <w:rPr>
          <w:sz w:val="20"/>
          <w:szCs w:val="20"/>
          <w:lang w:val="en-GB"/>
        </w:rPr>
      </w:pPr>
    </w:p>
    <w:p w14:paraId="2270D048" w14:textId="77777777" w:rsidR="003736FF" w:rsidRPr="00D51EF4" w:rsidRDefault="003736FF" w:rsidP="003736FF">
      <w:pPr>
        <w:autoSpaceDE w:val="0"/>
        <w:autoSpaceDN w:val="0"/>
        <w:adjustRightInd w:val="0"/>
        <w:jc w:val="both"/>
        <w:rPr>
          <w:rFonts w:ascii="Arial" w:hAnsi="Arial" w:cs="Arial"/>
          <w:sz w:val="20"/>
          <w:szCs w:val="20"/>
          <w:lang w:val="en-GB"/>
        </w:rPr>
      </w:pPr>
    </w:p>
    <w:p w14:paraId="5CF31CB1" w14:textId="77777777" w:rsidR="003736FF" w:rsidRPr="00D51EF4" w:rsidRDefault="007E387A" w:rsidP="003736FF">
      <w:pPr>
        <w:jc w:val="both"/>
        <w:rPr>
          <w:sz w:val="20"/>
          <w:szCs w:val="20"/>
          <w:lang w:val="en-GB"/>
        </w:rPr>
      </w:pPr>
      <w:r w:rsidRPr="00D51EF4">
        <w:rPr>
          <w:position w:val="-12"/>
          <w:sz w:val="20"/>
          <w:szCs w:val="20"/>
          <w:lang w:val="en-GB"/>
        </w:rPr>
        <w:t>(2</w:t>
      </w:r>
      <w:proofErr w:type="gramStart"/>
      <w:r w:rsidRPr="00D51EF4">
        <w:rPr>
          <w:position w:val="-12"/>
          <w:sz w:val="20"/>
          <w:szCs w:val="20"/>
          <w:lang w:val="en-GB"/>
        </w:rPr>
        <w:t xml:space="preserve">) </w:t>
      </w:r>
      <w:proofErr w:type="gramEnd"/>
      <w:r w:rsidR="003736FF" w:rsidRPr="00D51EF4">
        <w:rPr>
          <w:position w:val="-12"/>
          <w:sz w:val="20"/>
          <w:szCs w:val="20"/>
          <w:lang w:val="en-GB"/>
        </w:rPr>
        <w:object w:dxaOrig="9060" w:dyaOrig="360" w14:anchorId="440E9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2pt;height:13.8pt" o:ole="">
            <v:imagedata r:id="rId12" o:title=""/>
          </v:shape>
          <o:OLEObject Type="Embed" ProgID="Equation.3" ShapeID="_x0000_i1025" DrawAspect="Content" ObjectID="_1545047989" r:id="rId13"/>
        </w:object>
      </w:r>
      <w:r w:rsidR="00374AC5" w:rsidRPr="00D51EF4">
        <w:rPr>
          <w:position w:val="-12"/>
          <w:sz w:val="20"/>
          <w:szCs w:val="20"/>
          <w:lang w:val="en-GB"/>
        </w:rPr>
        <w:t>.</w:t>
      </w:r>
    </w:p>
    <w:p w14:paraId="75A09787" w14:textId="77777777" w:rsidR="003736FF" w:rsidRPr="00D51EF4" w:rsidRDefault="003736FF" w:rsidP="003736FF">
      <w:pPr>
        <w:autoSpaceDE w:val="0"/>
        <w:autoSpaceDN w:val="0"/>
        <w:adjustRightInd w:val="0"/>
        <w:jc w:val="both"/>
        <w:rPr>
          <w:sz w:val="20"/>
          <w:szCs w:val="20"/>
          <w:lang w:val="en-GB"/>
        </w:rPr>
      </w:pPr>
    </w:p>
    <w:p w14:paraId="2CE1FF18" w14:textId="60061036" w:rsidR="003736FF" w:rsidRPr="00D51EF4" w:rsidRDefault="003736FF" w:rsidP="003736FF">
      <w:pPr>
        <w:jc w:val="both"/>
        <w:rPr>
          <w:sz w:val="20"/>
          <w:szCs w:val="20"/>
          <w:lang w:val="en-GB"/>
        </w:rPr>
      </w:pPr>
      <w:r w:rsidRPr="00D51EF4">
        <w:rPr>
          <w:i/>
          <w:sz w:val="20"/>
          <w:szCs w:val="20"/>
          <w:lang w:val="en-GB"/>
        </w:rPr>
        <w:t>RATE</w:t>
      </w:r>
      <w:r w:rsidRPr="00D51EF4">
        <w:rPr>
          <w:sz w:val="20"/>
          <w:szCs w:val="20"/>
          <w:lang w:val="en-GB"/>
        </w:rPr>
        <w:t xml:space="preserve"> is the rating grade assigned to the MFI by the </w:t>
      </w:r>
      <w:proofErr w:type="gramStart"/>
      <w:r w:rsidRPr="00D51EF4">
        <w:rPr>
          <w:sz w:val="20"/>
          <w:szCs w:val="20"/>
          <w:lang w:val="en-GB"/>
        </w:rPr>
        <w:t>microfinance rating</w:t>
      </w:r>
      <w:proofErr w:type="gramEnd"/>
      <w:r w:rsidRPr="00D51EF4">
        <w:rPr>
          <w:sz w:val="20"/>
          <w:szCs w:val="20"/>
          <w:lang w:val="en-GB"/>
        </w:rPr>
        <w:t xml:space="preserve"> agency. The rating scales have been mathematically converted into a uniform scale</w:t>
      </w:r>
      <w:r w:rsidR="003A6DD2" w:rsidRPr="00D51EF4">
        <w:rPr>
          <w:sz w:val="20"/>
          <w:szCs w:val="20"/>
          <w:lang w:val="en-GB"/>
        </w:rPr>
        <w:t xml:space="preserve">, </w:t>
      </w:r>
      <w:r w:rsidR="00374AC5" w:rsidRPr="00D51EF4">
        <w:rPr>
          <w:sz w:val="20"/>
          <w:szCs w:val="20"/>
          <w:lang w:val="en-GB"/>
        </w:rPr>
        <w:t>and</w:t>
      </w:r>
      <w:r w:rsidR="003A6DD2" w:rsidRPr="00D51EF4">
        <w:rPr>
          <w:sz w:val="20"/>
          <w:szCs w:val="20"/>
          <w:lang w:val="en-GB"/>
        </w:rPr>
        <w:t xml:space="preserve"> rating grades are assigned values between </w:t>
      </w:r>
      <w:proofErr w:type="gramStart"/>
      <w:r w:rsidR="003A6DD2" w:rsidRPr="00D51EF4">
        <w:rPr>
          <w:sz w:val="20"/>
          <w:szCs w:val="20"/>
          <w:lang w:val="en-GB"/>
        </w:rPr>
        <w:t>0</w:t>
      </w:r>
      <w:proofErr w:type="gramEnd"/>
      <w:r w:rsidR="003A6DD2" w:rsidRPr="00D51EF4">
        <w:rPr>
          <w:sz w:val="20"/>
          <w:szCs w:val="20"/>
          <w:lang w:val="en-GB"/>
        </w:rPr>
        <w:t xml:space="preserve"> and 1</w:t>
      </w:r>
      <w:r w:rsidR="002B4629" w:rsidRPr="00D51EF4">
        <w:rPr>
          <w:sz w:val="20"/>
          <w:szCs w:val="20"/>
          <w:lang w:val="en-GB"/>
        </w:rPr>
        <w:t xml:space="preserve"> (Beisland and Mersland 2012)</w:t>
      </w:r>
      <w:r w:rsidRPr="00D51EF4">
        <w:rPr>
          <w:sz w:val="20"/>
          <w:szCs w:val="20"/>
          <w:lang w:val="en-GB"/>
        </w:rPr>
        <w:t xml:space="preserve">. </w:t>
      </w:r>
      <w:r w:rsidRPr="00D51EF4">
        <w:rPr>
          <w:i/>
          <w:sz w:val="20"/>
          <w:szCs w:val="20"/>
          <w:lang w:val="en-GB"/>
        </w:rPr>
        <w:t>EARN</w:t>
      </w:r>
      <w:r w:rsidRPr="00D51EF4">
        <w:rPr>
          <w:sz w:val="20"/>
          <w:szCs w:val="20"/>
          <w:lang w:val="en-GB"/>
        </w:rPr>
        <w:t xml:space="preserve"> is earnings divided by end</w:t>
      </w:r>
      <w:r w:rsidR="00374AC5" w:rsidRPr="00D51EF4">
        <w:rPr>
          <w:sz w:val="20"/>
          <w:szCs w:val="20"/>
          <w:lang w:val="en-GB"/>
        </w:rPr>
        <w:t>-</w:t>
      </w:r>
      <w:r w:rsidRPr="00D51EF4">
        <w:rPr>
          <w:sz w:val="20"/>
          <w:szCs w:val="20"/>
          <w:lang w:val="en-GB"/>
        </w:rPr>
        <w:t>of</w:t>
      </w:r>
      <w:r w:rsidR="00374AC5" w:rsidRPr="00D51EF4">
        <w:rPr>
          <w:sz w:val="20"/>
          <w:szCs w:val="20"/>
          <w:lang w:val="en-GB"/>
        </w:rPr>
        <w:t>-</w:t>
      </w:r>
      <w:r w:rsidRPr="00D51EF4">
        <w:rPr>
          <w:sz w:val="20"/>
          <w:szCs w:val="20"/>
          <w:lang w:val="en-GB"/>
        </w:rPr>
        <w:t xml:space="preserve">period total assets. </w:t>
      </w:r>
      <w:proofErr w:type="gramStart"/>
      <w:r w:rsidRPr="00D51EF4">
        <w:rPr>
          <w:i/>
          <w:sz w:val="20"/>
          <w:szCs w:val="20"/>
          <w:lang w:val="en-GB"/>
        </w:rPr>
        <w:t>LN(</w:t>
      </w:r>
      <w:proofErr w:type="gramEnd"/>
      <w:r w:rsidRPr="00D51EF4">
        <w:rPr>
          <w:i/>
          <w:sz w:val="20"/>
          <w:szCs w:val="20"/>
          <w:lang w:val="en-GB"/>
        </w:rPr>
        <w:t>ASSETS)</w:t>
      </w:r>
      <w:r w:rsidRPr="00D51EF4">
        <w:rPr>
          <w:sz w:val="20"/>
          <w:szCs w:val="20"/>
          <w:lang w:val="en-GB"/>
        </w:rPr>
        <w:t xml:space="preserve"> is the log of total assets,</w:t>
      </w:r>
      <w:r w:rsidRPr="00D51EF4">
        <w:rPr>
          <w:i/>
          <w:sz w:val="20"/>
          <w:szCs w:val="20"/>
          <w:lang w:val="en-GB"/>
        </w:rPr>
        <w:t xml:space="preserve"> OEX_PORTF</w:t>
      </w:r>
      <w:r w:rsidRPr="00D51EF4">
        <w:rPr>
          <w:sz w:val="20"/>
          <w:szCs w:val="20"/>
          <w:lang w:val="en-GB"/>
        </w:rPr>
        <w:t xml:space="preserve"> is the operating expenses </w:t>
      </w:r>
      <w:r w:rsidR="00F276D3" w:rsidRPr="00D51EF4">
        <w:rPr>
          <w:sz w:val="20"/>
          <w:szCs w:val="20"/>
          <w:lang w:val="en-GB"/>
        </w:rPr>
        <w:t xml:space="preserve">divided by the value of the </w:t>
      </w:r>
      <w:r w:rsidRPr="00D51EF4">
        <w:rPr>
          <w:sz w:val="20"/>
          <w:szCs w:val="20"/>
          <w:lang w:val="en-GB"/>
        </w:rPr>
        <w:t xml:space="preserve">total loan portfolio, </w:t>
      </w:r>
      <w:r w:rsidRPr="00D51EF4">
        <w:rPr>
          <w:i/>
          <w:sz w:val="20"/>
          <w:szCs w:val="20"/>
          <w:lang w:val="en-GB"/>
        </w:rPr>
        <w:t>PAR30</w:t>
      </w:r>
      <w:r w:rsidRPr="00D51EF4">
        <w:rPr>
          <w:sz w:val="20"/>
          <w:szCs w:val="20"/>
          <w:lang w:val="en-GB"/>
        </w:rPr>
        <w:t xml:space="preserve"> is the Portfolio at Risk&gt;30 (the relative proportion of the portfolio </w:t>
      </w:r>
      <w:r w:rsidR="00F276D3" w:rsidRPr="00D51EF4">
        <w:rPr>
          <w:sz w:val="20"/>
          <w:szCs w:val="20"/>
          <w:lang w:val="en-GB"/>
        </w:rPr>
        <w:t xml:space="preserve">that is greater </w:t>
      </w:r>
      <w:r w:rsidRPr="00D51EF4">
        <w:rPr>
          <w:sz w:val="20"/>
          <w:szCs w:val="20"/>
          <w:lang w:val="en-GB"/>
        </w:rPr>
        <w:t>than 30 days in arrears), and</w:t>
      </w:r>
      <w:r w:rsidRPr="00D51EF4">
        <w:rPr>
          <w:i/>
          <w:sz w:val="20"/>
          <w:szCs w:val="20"/>
          <w:lang w:val="en-GB"/>
        </w:rPr>
        <w:t xml:space="preserve"> CONTROL</w:t>
      </w:r>
      <w:r w:rsidRPr="00D51EF4">
        <w:rPr>
          <w:sz w:val="20"/>
          <w:szCs w:val="20"/>
          <w:lang w:val="en-GB"/>
        </w:rPr>
        <w:t xml:space="preserve"> is a vector of control variables. </w:t>
      </w:r>
      <w:r w:rsidRPr="00D51EF4">
        <w:rPr>
          <w:i/>
          <w:sz w:val="20"/>
          <w:szCs w:val="20"/>
          <w:lang w:val="en-GB"/>
        </w:rPr>
        <w:t>CONTROL</w:t>
      </w:r>
      <w:r w:rsidRPr="00D51EF4">
        <w:rPr>
          <w:sz w:val="20"/>
          <w:szCs w:val="20"/>
          <w:lang w:val="en-GB"/>
        </w:rPr>
        <w:t xml:space="preserve"> includes the Human Development Index (</w:t>
      </w:r>
      <w:r w:rsidRPr="00D51EF4">
        <w:rPr>
          <w:i/>
          <w:sz w:val="20"/>
          <w:szCs w:val="20"/>
          <w:lang w:val="en-GB"/>
        </w:rPr>
        <w:t>HDI</w:t>
      </w:r>
      <w:r w:rsidRPr="00D51EF4">
        <w:rPr>
          <w:sz w:val="20"/>
          <w:szCs w:val="20"/>
          <w:lang w:val="en-GB"/>
        </w:rPr>
        <w:t xml:space="preserve">), the number of years since the institution </w:t>
      </w:r>
      <w:r w:rsidR="00374AC5" w:rsidRPr="00D51EF4">
        <w:rPr>
          <w:sz w:val="20"/>
          <w:szCs w:val="20"/>
          <w:lang w:val="en-GB"/>
        </w:rPr>
        <w:t xml:space="preserve">began </w:t>
      </w:r>
      <w:r w:rsidRPr="00D51EF4">
        <w:rPr>
          <w:sz w:val="20"/>
          <w:szCs w:val="20"/>
          <w:lang w:val="en-GB"/>
        </w:rPr>
        <w:t>microfinance activities (</w:t>
      </w:r>
      <w:r w:rsidRPr="00D51EF4">
        <w:rPr>
          <w:i/>
          <w:sz w:val="20"/>
          <w:szCs w:val="20"/>
          <w:lang w:val="en-GB"/>
        </w:rPr>
        <w:t>AGE_MFI</w:t>
      </w:r>
      <w:r w:rsidRPr="00D51EF4">
        <w:rPr>
          <w:sz w:val="20"/>
          <w:szCs w:val="20"/>
          <w:lang w:val="en-GB"/>
        </w:rPr>
        <w:t>) and indicator variables for years and rating agencies.</w:t>
      </w:r>
      <w:r w:rsidR="007F426C" w:rsidRPr="00D51EF4">
        <w:rPr>
          <w:sz w:val="20"/>
          <w:szCs w:val="20"/>
          <w:lang w:val="en-GB"/>
        </w:rPr>
        <w:t xml:space="preserve"> One (*), two (**) and three (***) asterisks denote the conventional 10%, 5% and 1% significance levels for the explanatory variables of the regressions</w:t>
      </w:r>
      <w:r w:rsidR="004E66B4" w:rsidRPr="00D51EF4">
        <w:rPr>
          <w:sz w:val="20"/>
          <w:szCs w:val="20"/>
          <w:lang w:val="en-GB"/>
        </w:rPr>
        <w:t>, respectively</w:t>
      </w:r>
      <w:r w:rsidRPr="00D51EF4">
        <w:rPr>
          <w:sz w:val="20"/>
          <w:szCs w:val="20"/>
          <w:lang w:val="en-GB"/>
        </w:rPr>
        <w:t xml:space="preserve">. </w:t>
      </w:r>
      <w:proofErr w:type="gramStart"/>
      <w:r w:rsidR="005067A6" w:rsidRPr="00D51EF4">
        <w:rPr>
          <w:sz w:val="20"/>
          <w:szCs w:val="20"/>
          <w:lang w:val="en-GB"/>
        </w:rPr>
        <w:t xml:space="preserve">The p-value for </w:t>
      </w:r>
      <w:r w:rsidR="00F276D3" w:rsidRPr="00D51EF4">
        <w:rPr>
          <w:sz w:val="20"/>
          <w:szCs w:val="20"/>
          <w:lang w:val="en-GB"/>
        </w:rPr>
        <w:t xml:space="preserve">the </w:t>
      </w:r>
      <w:r w:rsidR="005067A6" w:rsidRPr="00D51EF4">
        <w:rPr>
          <w:sz w:val="20"/>
          <w:szCs w:val="20"/>
          <w:lang w:val="en-GB"/>
        </w:rPr>
        <w:t xml:space="preserve">difference in </w:t>
      </w:r>
      <w:r w:rsidR="007E387A" w:rsidRPr="00D51EF4">
        <w:rPr>
          <w:sz w:val="20"/>
          <w:szCs w:val="20"/>
          <w:lang w:val="en-GB"/>
        </w:rPr>
        <w:t>rating relevance</w:t>
      </w:r>
      <w:r w:rsidR="005067A6" w:rsidRPr="00D51EF4">
        <w:rPr>
          <w:sz w:val="20"/>
          <w:szCs w:val="20"/>
          <w:lang w:val="en-GB"/>
        </w:rPr>
        <w:t xml:space="preserve"> is estimated by re-running (1)</w:t>
      </w:r>
      <w:proofErr w:type="gramEnd"/>
      <w:r w:rsidR="005067A6" w:rsidRPr="00D51EF4">
        <w:rPr>
          <w:sz w:val="20"/>
          <w:szCs w:val="20"/>
          <w:lang w:val="en-GB"/>
        </w:rPr>
        <w:t xml:space="preserve"> on a pooled sample</w:t>
      </w:r>
      <w:r w:rsidR="000F7962">
        <w:rPr>
          <w:sz w:val="20"/>
          <w:szCs w:val="20"/>
          <w:lang w:val="en-GB"/>
        </w:rPr>
        <w:t xml:space="preserve"> with a binary variable for </w:t>
      </w:r>
      <w:proofErr w:type="spellStart"/>
      <w:r w:rsidR="000F7962">
        <w:rPr>
          <w:sz w:val="20"/>
          <w:szCs w:val="20"/>
          <w:lang w:val="en-GB"/>
        </w:rPr>
        <w:t>non</w:t>
      </w:r>
      <w:r w:rsidR="005067A6" w:rsidRPr="00D51EF4">
        <w:rPr>
          <w:sz w:val="20"/>
          <w:szCs w:val="20"/>
          <w:lang w:val="en-GB"/>
        </w:rPr>
        <w:t>profit</w:t>
      </w:r>
      <w:proofErr w:type="spellEnd"/>
      <w:r w:rsidR="00CE0EED">
        <w:rPr>
          <w:sz w:val="20"/>
          <w:szCs w:val="20"/>
          <w:lang w:val="en-GB"/>
        </w:rPr>
        <w:t xml:space="preserve"> organisations</w:t>
      </w:r>
      <w:r w:rsidR="005067A6" w:rsidRPr="00D51EF4">
        <w:rPr>
          <w:sz w:val="20"/>
          <w:szCs w:val="20"/>
          <w:lang w:val="en-GB"/>
        </w:rPr>
        <w:t>. The listed p-value is the significance level of</w:t>
      </w:r>
      <w:r w:rsidR="00AC1134" w:rsidRPr="00D51EF4">
        <w:rPr>
          <w:sz w:val="20"/>
          <w:szCs w:val="20"/>
          <w:lang w:val="en-GB"/>
        </w:rPr>
        <w:t xml:space="preserve"> an interaction variable of EARN</w:t>
      </w:r>
      <w:r w:rsidR="005067A6" w:rsidRPr="00D51EF4">
        <w:rPr>
          <w:sz w:val="20"/>
          <w:szCs w:val="20"/>
          <w:lang w:val="en-GB"/>
        </w:rPr>
        <w:t xml:space="preserve"> multiplied by the binary variable.</w:t>
      </w:r>
    </w:p>
    <w:p w14:paraId="750408AB" w14:textId="77777777" w:rsidR="003736FF" w:rsidRPr="00D51EF4" w:rsidRDefault="003736FF" w:rsidP="00711A13">
      <w:pPr>
        <w:autoSpaceDE w:val="0"/>
        <w:autoSpaceDN w:val="0"/>
        <w:adjustRightInd w:val="0"/>
        <w:jc w:val="both"/>
        <w:rPr>
          <w:sz w:val="20"/>
          <w:szCs w:val="20"/>
          <w:lang w:val="en-GB"/>
        </w:rPr>
      </w:pPr>
    </w:p>
    <w:p w14:paraId="36CD76DE" w14:textId="77777777" w:rsidR="002A0885" w:rsidRPr="00D51EF4" w:rsidRDefault="002A0885">
      <w:pPr>
        <w:spacing w:after="200" w:line="276" w:lineRule="auto"/>
        <w:rPr>
          <w:sz w:val="20"/>
          <w:szCs w:val="20"/>
          <w:lang w:val="en-GB"/>
        </w:rPr>
      </w:pPr>
      <w:r w:rsidRPr="00D51EF4">
        <w:rPr>
          <w:sz w:val="20"/>
          <w:szCs w:val="20"/>
          <w:lang w:val="en-GB"/>
        </w:rPr>
        <w:br w:type="page"/>
      </w:r>
    </w:p>
    <w:p w14:paraId="0355E81C" w14:textId="77777777" w:rsidR="00711A13" w:rsidRPr="00D51EF4" w:rsidRDefault="00711A13" w:rsidP="00271F34">
      <w:pPr>
        <w:autoSpaceDE w:val="0"/>
        <w:autoSpaceDN w:val="0"/>
        <w:adjustRightInd w:val="0"/>
        <w:jc w:val="both"/>
        <w:rPr>
          <w:sz w:val="20"/>
          <w:szCs w:val="20"/>
          <w:lang w:val="en-GB"/>
        </w:rPr>
      </w:pPr>
    </w:p>
    <w:p w14:paraId="11B63C43" w14:textId="77777777" w:rsidR="00271F34" w:rsidRPr="00D51EF4" w:rsidRDefault="00271F34" w:rsidP="00BB5105">
      <w:pPr>
        <w:autoSpaceDE w:val="0"/>
        <w:autoSpaceDN w:val="0"/>
        <w:adjustRightInd w:val="0"/>
        <w:jc w:val="both"/>
        <w:rPr>
          <w:sz w:val="20"/>
          <w:szCs w:val="20"/>
          <w:lang w:val="en-GB"/>
        </w:rPr>
      </w:pPr>
    </w:p>
    <w:p w14:paraId="173291C3" w14:textId="6A3957D2" w:rsidR="00830C03" w:rsidRPr="00D51EF4" w:rsidRDefault="00830C03" w:rsidP="00830C03">
      <w:pPr>
        <w:spacing w:line="480" w:lineRule="auto"/>
        <w:jc w:val="both"/>
        <w:rPr>
          <w:b/>
          <w:i/>
          <w:lang w:val="en-GB"/>
        </w:rPr>
      </w:pPr>
      <w:r w:rsidRPr="00D51EF4">
        <w:rPr>
          <w:b/>
          <w:i/>
          <w:lang w:val="en-GB"/>
        </w:rPr>
        <w:t xml:space="preserve">Table </w:t>
      </w:r>
      <w:r w:rsidR="00A1711B" w:rsidRPr="00D51EF4">
        <w:rPr>
          <w:b/>
          <w:i/>
          <w:lang w:val="en-GB"/>
        </w:rPr>
        <w:t>7</w:t>
      </w:r>
      <w:r w:rsidR="007E28B9">
        <w:rPr>
          <w:b/>
          <w:i/>
          <w:lang w:val="en-GB"/>
        </w:rPr>
        <w:t xml:space="preserve">: Earnings Quality for </w:t>
      </w:r>
      <w:proofErr w:type="spellStart"/>
      <w:r w:rsidR="007E28B9">
        <w:rPr>
          <w:b/>
          <w:i/>
          <w:lang w:val="en-GB"/>
        </w:rPr>
        <w:t>Nonp</w:t>
      </w:r>
      <w:r w:rsidRPr="00D51EF4">
        <w:rPr>
          <w:b/>
          <w:i/>
          <w:lang w:val="en-GB"/>
        </w:rPr>
        <w:t>rofit</w:t>
      </w:r>
      <w:proofErr w:type="spellEnd"/>
      <w:r w:rsidRPr="00D51EF4">
        <w:rPr>
          <w:b/>
          <w:i/>
          <w:lang w:val="en-GB"/>
        </w:rPr>
        <w:t xml:space="preserve"> Organisations</w:t>
      </w:r>
    </w:p>
    <w:tbl>
      <w:tblPr>
        <w:tblW w:w="9282" w:type="dxa"/>
        <w:tblInd w:w="55" w:type="dxa"/>
        <w:tblCellMar>
          <w:left w:w="70" w:type="dxa"/>
          <w:right w:w="70" w:type="dxa"/>
        </w:tblCellMar>
        <w:tblLook w:val="04A0" w:firstRow="1" w:lastRow="0" w:firstColumn="1" w:lastColumn="0" w:noHBand="0" w:noVBand="1"/>
      </w:tblPr>
      <w:tblGrid>
        <w:gridCol w:w="5685"/>
        <w:gridCol w:w="851"/>
        <w:gridCol w:w="1302"/>
        <w:gridCol w:w="169"/>
        <w:gridCol w:w="1275"/>
      </w:tblGrid>
      <w:tr w:rsidR="00BB6BD6" w:rsidRPr="00D51EF4" w14:paraId="7875B1CE" w14:textId="77777777" w:rsidTr="00A845F0">
        <w:trPr>
          <w:trHeight w:val="300"/>
        </w:trPr>
        <w:tc>
          <w:tcPr>
            <w:tcW w:w="5685" w:type="dxa"/>
            <w:tcBorders>
              <w:top w:val="nil"/>
              <w:left w:val="nil"/>
              <w:bottom w:val="nil"/>
              <w:right w:val="nil"/>
            </w:tcBorders>
            <w:shd w:val="clear" w:color="auto" w:fill="auto"/>
            <w:noWrap/>
            <w:vAlign w:val="bottom"/>
            <w:hideMark/>
          </w:tcPr>
          <w:p w14:paraId="0A0E9AE5" w14:textId="77777777" w:rsidR="00BB6BD6" w:rsidRPr="00D51EF4" w:rsidRDefault="00BB6BD6" w:rsidP="00A845F0">
            <w:pPr>
              <w:jc w:val="right"/>
              <w:rPr>
                <w:rFonts w:ascii="Calibri" w:hAnsi="Calibri" w:cs="Calibri"/>
                <w:color w:val="000000"/>
                <w:sz w:val="22"/>
                <w:szCs w:val="22"/>
                <w:lang w:val="en-GB"/>
              </w:rPr>
            </w:pPr>
          </w:p>
        </w:tc>
        <w:tc>
          <w:tcPr>
            <w:tcW w:w="851" w:type="dxa"/>
            <w:tcBorders>
              <w:top w:val="nil"/>
              <w:left w:val="nil"/>
              <w:bottom w:val="nil"/>
              <w:right w:val="nil"/>
            </w:tcBorders>
            <w:shd w:val="clear" w:color="auto" w:fill="auto"/>
            <w:noWrap/>
            <w:vAlign w:val="bottom"/>
            <w:hideMark/>
          </w:tcPr>
          <w:p w14:paraId="6D58E761" w14:textId="77777777" w:rsidR="00BB6BD6" w:rsidRPr="00D51EF4" w:rsidRDefault="00BB6BD6" w:rsidP="00A845F0">
            <w:pPr>
              <w:jc w:val="right"/>
              <w:rPr>
                <w:rFonts w:ascii="Calibri" w:hAnsi="Calibri" w:cs="Calibri"/>
                <w:b/>
                <w:color w:val="000000"/>
                <w:sz w:val="22"/>
                <w:szCs w:val="22"/>
                <w:lang w:val="en-GB"/>
              </w:rPr>
            </w:pPr>
            <w:r w:rsidRPr="00D51EF4">
              <w:rPr>
                <w:rFonts w:ascii="Calibri" w:hAnsi="Calibri" w:cs="Calibri"/>
                <w:b/>
                <w:color w:val="000000"/>
                <w:sz w:val="22"/>
                <w:szCs w:val="22"/>
                <w:lang w:val="en-GB"/>
              </w:rPr>
              <w:t>NGOs</w:t>
            </w:r>
          </w:p>
        </w:tc>
        <w:tc>
          <w:tcPr>
            <w:tcW w:w="1471" w:type="dxa"/>
            <w:gridSpan w:val="2"/>
            <w:tcBorders>
              <w:top w:val="nil"/>
              <w:left w:val="nil"/>
              <w:bottom w:val="nil"/>
              <w:right w:val="nil"/>
            </w:tcBorders>
            <w:shd w:val="clear" w:color="auto" w:fill="auto"/>
            <w:noWrap/>
            <w:vAlign w:val="bottom"/>
            <w:hideMark/>
          </w:tcPr>
          <w:p w14:paraId="06B16A2E" w14:textId="77777777" w:rsidR="00BB6BD6" w:rsidRPr="00D51EF4" w:rsidRDefault="00BB6BD6" w:rsidP="00A845F0">
            <w:pPr>
              <w:jc w:val="right"/>
              <w:rPr>
                <w:rFonts w:ascii="Calibri" w:hAnsi="Calibri" w:cs="Calibri"/>
                <w:b/>
                <w:color w:val="000000"/>
                <w:sz w:val="22"/>
                <w:szCs w:val="22"/>
                <w:lang w:val="en-GB"/>
              </w:rPr>
            </w:pPr>
            <w:r w:rsidRPr="00D51EF4">
              <w:rPr>
                <w:rFonts w:ascii="Calibri" w:hAnsi="Calibri" w:cs="Calibri"/>
                <w:b/>
                <w:color w:val="000000"/>
                <w:sz w:val="22"/>
                <w:szCs w:val="22"/>
                <w:lang w:val="en-GB"/>
              </w:rPr>
              <w:t>Cooperatives/</w:t>
            </w:r>
          </w:p>
          <w:p w14:paraId="5F431697" w14:textId="77777777" w:rsidR="00BB6BD6" w:rsidRPr="00D51EF4" w:rsidRDefault="00BB6BD6" w:rsidP="00A845F0">
            <w:pPr>
              <w:jc w:val="right"/>
              <w:rPr>
                <w:rFonts w:ascii="Calibri" w:hAnsi="Calibri" w:cs="Calibri"/>
                <w:b/>
                <w:color w:val="000000"/>
                <w:sz w:val="22"/>
                <w:szCs w:val="22"/>
                <w:lang w:val="en-GB"/>
              </w:rPr>
            </w:pPr>
            <w:r w:rsidRPr="00D51EF4">
              <w:rPr>
                <w:rFonts w:ascii="Calibri" w:hAnsi="Calibri" w:cs="Calibri"/>
                <w:b/>
                <w:color w:val="000000"/>
                <w:sz w:val="22"/>
                <w:szCs w:val="22"/>
                <w:lang w:val="en-GB"/>
              </w:rPr>
              <w:t xml:space="preserve">Credit Unions </w:t>
            </w:r>
          </w:p>
        </w:tc>
        <w:tc>
          <w:tcPr>
            <w:tcW w:w="1275" w:type="dxa"/>
            <w:tcBorders>
              <w:top w:val="nil"/>
              <w:left w:val="nil"/>
              <w:bottom w:val="nil"/>
              <w:right w:val="nil"/>
            </w:tcBorders>
            <w:shd w:val="clear" w:color="auto" w:fill="auto"/>
            <w:noWrap/>
            <w:vAlign w:val="bottom"/>
            <w:hideMark/>
          </w:tcPr>
          <w:p w14:paraId="2BC67B52" w14:textId="77777777" w:rsidR="00BB6BD6" w:rsidRPr="00D51EF4" w:rsidRDefault="00BB6BD6" w:rsidP="00A845F0">
            <w:pPr>
              <w:jc w:val="right"/>
              <w:rPr>
                <w:rFonts w:ascii="Calibri" w:hAnsi="Calibri" w:cs="Calibri"/>
                <w:b/>
                <w:i/>
                <w:color w:val="000000"/>
                <w:sz w:val="22"/>
                <w:szCs w:val="22"/>
                <w:lang w:val="en-GB"/>
              </w:rPr>
            </w:pPr>
            <w:r w:rsidRPr="00D51EF4">
              <w:rPr>
                <w:rFonts w:ascii="Calibri" w:hAnsi="Calibri" w:cs="Calibri"/>
                <w:b/>
                <w:i/>
                <w:color w:val="000000"/>
                <w:sz w:val="22"/>
                <w:szCs w:val="22"/>
                <w:lang w:val="en-GB"/>
              </w:rPr>
              <w:t>P-value of difference</w:t>
            </w:r>
          </w:p>
        </w:tc>
      </w:tr>
      <w:tr w:rsidR="00BB6BD6" w:rsidRPr="00D51EF4" w14:paraId="1495B70A" w14:textId="77777777" w:rsidTr="00A845F0">
        <w:trPr>
          <w:trHeight w:val="360"/>
        </w:trPr>
        <w:tc>
          <w:tcPr>
            <w:tcW w:w="5685" w:type="dxa"/>
            <w:tcBorders>
              <w:top w:val="nil"/>
              <w:left w:val="nil"/>
              <w:bottom w:val="nil"/>
              <w:right w:val="nil"/>
            </w:tcBorders>
            <w:shd w:val="clear" w:color="auto" w:fill="auto"/>
            <w:noWrap/>
            <w:vAlign w:val="bottom"/>
            <w:hideMark/>
          </w:tcPr>
          <w:p w14:paraId="563334CE" w14:textId="77777777" w:rsidR="00BB6BD6" w:rsidRPr="00D51EF4" w:rsidRDefault="00BB6BD6" w:rsidP="00BB6BD6">
            <w:pPr>
              <w:rPr>
                <w:rFonts w:ascii="Calibri" w:hAnsi="Calibri" w:cs="Calibri"/>
                <w:color w:val="000000"/>
                <w:sz w:val="22"/>
                <w:szCs w:val="22"/>
                <w:lang w:val="en-GB"/>
              </w:rPr>
            </w:pPr>
            <w:r w:rsidRPr="00D51EF4">
              <w:rPr>
                <w:rFonts w:ascii="Calibri" w:hAnsi="Calibri" w:cs="Calibri"/>
                <w:color w:val="000000"/>
                <w:sz w:val="22"/>
                <w:szCs w:val="22"/>
                <w:lang w:val="en-GB"/>
              </w:rPr>
              <w:t>Smoothness (n</w:t>
            </w:r>
            <w:r w:rsidRPr="00D51EF4">
              <w:rPr>
                <w:rFonts w:ascii="Calibri" w:hAnsi="Calibri" w:cs="Calibri"/>
                <w:color w:val="000000"/>
                <w:sz w:val="22"/>
                <w:szCs w:val="22"/>
                <w:vertAlign w:val="subscript"/>
                <w:lang w:val="en-GB"/>
              </w:rPr>
              <w:t>NGO</w:t>
            </w:r>
            <w:r w:rsidRPr="00D51EF4">
              <w:rPr>
                <w:rFonts w:ascii="Calibri" w:hAnsi="Calibri" w:cs="Calibri"/>
                <w:color w:val="000000"/>
                <w:sz w:val="22"/>
                <w:szCs w:val="22"/>
                <w:lang w:val="en-GB"/>
              </w:rPr>
              <w:t xml:space="preserve"> = 807, n</w:t>
            </w:r>
            <w:r w:rsidRPr="00D51EF4">
              <w:rPr>
                <w:rFonts w:ascii="Calibri" w:hAnsi="Calibri" w:cs="Calibri"/>
                <w:color w:val="000000"/>
                <w:sz w:val="22"/>
                <w:szCs w:val="22"/>
                <w:vertAlign w:val="subscript"/>
                <w:lang w:val="en-GB"/>
              </w:rPr>
              <w:t>COOP/CU</w:t>
            </w:r>
            <w:r w:rsidRPr="00D51EF4">
              <w:rPr>
                <w:rFonts w:ascii="Calibri" w:hAnsi="Calibri" w:cs="Calibri"/>
                <w:color w:val="000000"/>
                <w:sz w:val="22"/>
                <w:szCs w:val="22"/>
                <w:lang w:val="en-GB"/>
              </w:rPr>
              <w:t xml:space="preserve"> = 202)</w:t>
            </w:r>
          </w:p>
        </w:tc>
        <w:tc>
          <w:tcPr>
            <w:tcW w:w="851" w:type="dxa"/>
            <w:tcBorders>
              <w:top w:val="nil"/>
              <w:left w:val="nil"/>
              <w:bottom w:val="nil"/>
              <w:right w:val="nil"/>
            </w:tcBorders>
            <w:shd w:val="clear" w:color="auto" w:fill="auto"/>
            <w:noWrap/>
            <w:vAlign w:val="bottom"/>
            <w:hideMark/>
          </w:tcPr>
          <w:p w14:paraId="057D9E2D" w14:textId="77777777" w:rsidR="00BB6BD6" w:rsidRPr="00D51EF4" w:rsidRDefault="00BB6BD6" w:rsidP="00BB6BD6">
            <w:pPr>
              <w:jc w:val="right"/>
              <w:rPr>
                <w:rFonts w:ascii="Calibri" w:hAnsi="Calibri" w:cs="Calibri"/>
                <w:color w:val="000000"/>
                <w:sz w:val="22"/>
                <w:szCs w:val="22"/>
                <w:lang w:val="en-GB"/>
              </w:rPr>
            </w:pPr>
            <w:r w:rsidRPr="00D51EF4">
              <w:rPr>
                <w:rFonts w:ascii="Calibri" w:hAnsi="Calibri" w:cs="Calibri"/>
                <w:color w:val="000000"/>
                <w:sz w:val="22"/>
                <w:szCs w:val="22"/>
                <w:lang w:val="en-GB"/>
              </w:rPr>
              <w:t>0.12</w:t>
            </w:r>
          </w:p>
        </w:tc>
        <w:tc>
          <w:tcPr>
            <w:tcW w:w="1302" w:type="dxa"/>
            <w:tcBorders>
              <w:top w:val="nil"/>
              <w:left w:val="nil"/>
              <w:bottom w:val="nil"/>
              <w:right w:val="nil"/>
            </w:tcBorders>
            <w:shd w:val="clear" w:color="auto" w:fill="auto"/>
            <w:noWrap/>
            <w:vAlign w:val="bottom"/>
            <w:hideMark/>
          </w:tcPr>
          <w:p w14:paraId="3F29E7EF" w14:textId="77777777" w:rsidR="00BB6BD6" w:rsidRPr="00D51EF4" w:rsidRDefault="00BB6BD6" w:rsidP="00BB6BD6">
            <w:pPr>
              <w:jc w:val="right"/>
              <w:rPr>
                <w:rFonts w:ascii="Calibri" w:hAnsi="Calibri" w:cs="Calibri"/>
                <w:color w:val="000000"/>
                <w:sz w:val="22"/>
                <w:szCs w:val="22"/>
                <w:lang w:val="en-GB"/>
              </w:rPr>
            </w:pPr>
            <w:r w:rsidRPr="00D51EF4">
              <w:rPr>
                <w:rFonts w:ascii="Calibri" w:hAnsi="Calibri" w:cs="Calibri"/>
                <w:color w:val="000000"/>
                <w:sz w:val="22"/>
                <w:szCs w:val="22"/>
                <w:lang w:val="en-GB"/>
              </w:rPr>
              <w:t>0.08</w:t>
            </w:r>
          </w:p>
        </w:tc>
        <w:tc>
          <w:tcPr>
            <w:tcW w:w="1444" w:type="dxa"/>
            <w:gridSpan w:val="2"/>
            <w:tcBorders>
              <w:top w:val="nil"/>
              <w:left w:val="nil"/>
              <w:bottom w:val="nil"/>
              <w:right w:val="nil"/>
            </w:tcBorders>
            <w:shd w:val="clear" w:color="auto" w:fill="auto"/>
            <w:noWrap/>
            <w:vAlign w:val="bottom"/>
            <w:hideMark/>
          </w:tcPr>
          <w:p w14:paraId="45B38F85" w14:textId="77777777" w:rsidR="00BB6BD6" w:rsidRPr="00D51EF4" w:rsidRDefault="00BB6BD6" w:rsidP="00BB6BD6">
            <w:pPr>
              <w:jc w:val="right"/>
              <w:rPr>
                <w:rFonts w:ascii="Calibri" w:hAnsi="Calibri" w:cs="Calibri"/>
                <w:color w:val="000000"/>
                <w:sz w:val="22"/>
                <w:szCs w:val="22"/>
                <w:lang w:val="en-GB"/>
              </w:rPr>
            </w:pPr>
            <w:r w:rsidRPr="00D51EF4">
              <w:rPr>
                <w:rFonts w:ascii="Calibri" w:hAnsi="Calibri" w:cs="Calibri"/>
                <w:color w:val="000000"/>
                <w:sz w:val="22"/>
                <w:szCs w:val="22"/>
                <w:lang w:val="en-GB"/>
              </w:rPr>
              <w:t>0.00</w:t>
            </w:r>
          </w:p>
        </w:tc>
      </w:tr>
      <w:tr w:rsidR="00BB6BD6" w:rsidRPr="00D51EF4" w14:paraId="30A3392F" w14:textId="77777777" w:rsidTr="00A845F0">
        <w:trPr>
          <w:trHeight w:val="360"/>
        </w:trPr>
        <w:tc>
          <w:tcPr>
            <w:tcW w:w="5685" w:type="dxa"/>
            <w:tcBorders>
              <w:top w:val="nil"/>
              <w:left w:val="nil"/>
              <w:bottom w:val="nil"/>
              <w:right w:val="nil"/>
            </w:tcBorders>
            <w:shd w:val="clear" w:color="auto" w:fill="auto"/>
            <w:noWrap/>
            <w:vAlign w:val="bottom"/>
            <w:hideMark/>
          </w:tcPr>
          <w:p w14:paraId="4E9BA651" w14:textId="77777777" w:rsidR="00BB6BD6" w:rsidRPr="00D51EF4" w:rsidRDefault="00BB6BD6" w:rsidP="00BB6BD6">
            <w:pPr>
              <w:rPr>
                <w:rFonts w:ascii="Calibri" w:hAnsi="Calibri" w:cs="Calibri"/>
                <w:color w:val="000000"/>
                <w:sz w:val="22"/>
                <w:szCs w:val="22"/>
                <w:lang w:val="en-GB"/>
              </w:rPr>
            </w:pPr>
            <w:r w:rsidRPr="00D51EF4">
              <w:rPr>
                <w:rFonts w:ascii="Calibri" w:hAnsi="Calibri" w:cs="Calibri"/>
                <w:color w:val="000000"/>
                <w:sz w:val="22"/>
                <w:szCs w:val="22"/>
                <w:lang w:val="en-GB"/>
              </w:rPr>
              <w:t>Persistence (n</w:t>
            </w:r>
            <w:r w:rsidRPr="00D51EF4">
              <w:rPr>
                <w:rFonts w:ascii="Calibri" w:hAnsi="Calibri" w:cs="Calibri"/>
                <w:color w:val="000000"/>
                <w:sz w:val="22"/>
                <w:szCs w:val="22"/>
                <w:vertAlign w:val="subscript"/>
                <w:lang w:val="en-GB"/>
              </w:rPr>
              <w:t>NGO</w:t>
            </w:r>
            <w:r w:rsidRPr="00D51EF4">
              <w:rPr>
                <w:rFonts w:ascii="Calibri" w:hAnsi="Calibri" w:cs="Calibri"/>
                <w:color w:val="000000"/>
                <w:sz w:val="22"/>
                <w:szCs w:val="22"/>
                <w:lang w:val="en-GB"/>
              </w:rPr>
              <w:t xml:space="preserve"> = 600, n</w:t>
            </w:r>
            <w:r w:rsidRPr="00D51EF4">
              <w:rPr>
                <w:rFonts w:ascii="Calibri" w:hAnsi="Calibri" w:cs="Calibri"/>
                <w:color w:val="000000"/>
                <w:sz w:val="22"/>
                <w:szCs w:val="22"/>
                <w:vertAlign w:val="subscript"/>
                <w:lang w:val="en-GB"/>
              </w:rPr>
              <w:t>COOP/CU</w:t>
            </w:r>
            <w:r w:rsidRPr="00D51EF4">
              <w:rPr>
                <w:rFonts w:ascii="Calibri" w:hAnsi="Calibri" w:cs="Calibri"/>
                <w:color w:val="000000"/>
                <w:sz w:val="22"/>
                <w:szCs w:val="22"/>
                <w:lang w:val="en-GB"/>
              </w:rPr>
              <w:t xml:space="preserve"> = 142)</w:t>
            </w:r>
          </w:p>
        </w:tc>
        <w:tc>
          <w:tcPr>
            <w:tcW w:w="851" w:type="dxa"/>
            <w:tcBorders>
              <w:top w:val="nil"/>
              <w:left w:val="nil"/>
              <w:bottom w:val="nil"/>
              <w:right w:val="nil"/>
            </w:tcBorders>
            <w:shd w:val="clear" w:color="auto" w:fill="auto"/>
            <w:noWrap/>
            <w:vAlign w:val="bottom"/>
            <w:hideMark/>
          </w:tcPr>
          <w:p w14:paraId="4448474B" w14:textId="77777777" w:rsidR="00BB6BD6" w:rsidRPr="00D51EF4" w:rsidRDefault="00BB6BD6" w:rsidP="00BB6BD6">
            <w:pPr>
              <w:jc w:val="right"/>
              <w:rPr>
                <w:rFonts w:ascii="Calibri" w:hAnsi="Calibri" w:cs="Calibri"/>
                <w:color w:val="000000"/>
                <w:sz w:val="22"/>
                <w:szCs w:val="22"/>
                <w:lang w:val="en-GB"/>
              </w:rPr>
            </w:pPr>
            <w:r w:rsidRPr="00D51EF4">
              <w:rPr>
                <w:rFonts w:ascii="Calibri" w:hAnsi="Calibri" w:cs="Calibri"/>
                <w:color w:val="000000"/>
                <w:sz w:val="22"/>
                <w:szCs w:val="22"/>
                <w:lang w:val="en-GB"/>
              </w:rPr>
              <w:t>0.49</w:t>
            </w:r>
          </w:p>
        </w:tc>
        <w:tc>
          <w:tcPr>
            <w:tcW w:w="1302" w:type="dxa"/>
            <w:tcBorders>
              <w:top w:val="nil"/>
              <w:left w:val="nil"/>
              <w:bottom w:val="nil"/>
              <w:right w:val="nil"/>
            </w:tcBorders>
            <w:shd w:val="clear" w:color="auto" w:fill="auto"/>
            <w:noWrap/>
            <w:vAlign w:val="bottom"/>
            <w:hideMark/>
          </w:tcPr>
          <w:p w14:paraId="23E3E83B" w14:textId="77777777" w:rsidR="00BB6BD6" w:rsidRPr="00D51EF4" w:rsidRDefault="00BB6BD6" w:rsidP="00BB6BD6">
            <w:pPr>
              <w:jc w:val="right"/>
              <w:rPr>
                <w:rFonts w:ascii="Calibri" w:hAnsi="Calibri" w:cs="Calibri"/>
                <w:color w:val="000000"/>
                <w:sz w:val="22"/>
                <w:szCs w:val="22"/>
                <w:lang w:val="en-GB"/>
              </w:rPr>
            </w:pPr>
            <w:r w:rsidRPr="00D51EF4">
              <w:rPr>
                <w:rFonts w:ascii="Calibri" w:hAnsi="Calibri" w:cs="Calibri"/>
                <w:color w:val="000000"/>
                <w:sz w:val="22"/>
                <w:szCs w:val="22"/>
                <w:lang w:val="en-GB"/>
              </w:rPr>
              <w:t>0.32</w:t>
            </w:r>
          </w:p>
        </w:tc>
        <w:tc>
          <w:tcPr>
            <w:tcW w:w="1444" w:type="dxa"/>
            <w:gridSpan w:val="2"/>
            <w:tcBorders>
              <w:top w:val="nil"/>
              <w:left w:val="nil"/>
              <w:bottom w:val="nil"/>
              <w:right w:val="nil"/>
            </w:tcBorders>
            <w:shd w:val="clear" w:color="auto" w:fill="auto"/>
            <w:noWrap/>
            <w:vAlign w:val="bottom"/>
            <w:hideMark/>
          </w:tcPr>
          <w:p w14:paraId="7950ED0E" w14:textId="77777777" w:rsidR="00BB6BD6" w:rsidRPr="00D51EF4" w:rsidRDefault="00BB6BD6" w:rsidP="00BB6BD6">
            <w:pPr>
              <w:jc w:val="right"/>
              <w:rPr>
                <w:rFonts w:ascii="Calibri" w:hAnsi="Calibri" w:cs="Calibri"/>
                <w:color w:val="000000"/>
                <w:sz w:val="22"/>
                <w:szCs w:val="22"/>
                <w:lang w:val="en-GB"/>
              </w:rPr>
            </w:pPr>
            <w:r w:rsidRPr="00D51EF4">
              <w:rPr>
                <w:rFonts w:ascii="Calibri" w:hAnsi="Calibri" w:cs="Calibri"/>
                <w:color w:val="000000"/>
                <w:sz w:val="22"/>
                <w:szCs w:val="22"/>
                <w:lang w:val="en-GB"/>
              </w:rPr>
              <w:t>0.04</w:t>
            </w:r>
          </w:p>
        </w:tc>
      </w:tr>
      <w:tr w:rsidR="00BB6BD6" w:rsidRPr="00D51EF4" w14:paraId="42C5FA63" w14:textId="77777777" w:rsidTr="00A845F0">
        <w:trPr>
          <w:trHeight w:val="360"/>
        </w:trPr>
        <w:tc>
          <w:tcPr>
            <w:tcW w:w="5685" w:type="dxa"/>
            <w:tcBorders>
              <w:top w:val="nil"/>
              <w:left w:val="nil"/>
              <w:bottom w:val="nil"/>
              <w:right w:val="nil"/>
            </w:tcBorders>
            <w:shd w:val="clear" w:color="auto" w:fill="auto"/>
            <w:noWrap/>
            <w:vAlign w:val="bottom"/>
            <w:hideMark/>
          </w:tcPr>
          <w:p w14:paraId="00D586BC" w14:textId="77777777" w:rsidR="00BB6BD6" w:rsidRPr="00D51EF4" w:rsidRDefault="00BB6BD6" w:rsidP="00BB6BD6">
            <w:pPr>
              <w:rPr>
                <w:rFonts w:ascii="Calibri" w:hAnsi="Calibri" w:cs="Calibri"/>
                <w:color w:val="000000"/>
                <w:sz w:val="22"/>
                <w:szCs w:val="22"/>
                <w:lang w:val="en-GB"/>
              </w:rPr>
            </w:pPr>
            <w:r w:rsidRPr="00D51EF4">
              <w:rPr>
                <w:rFonts w:ascii="Calibri" w:hAnsi="Calibri" w:cs="Calibri"/>
                <w:color w:val="000000"/>
                <w:sz w:val="22"/>
                <w:szCs w:val="22"/>
                <w:lang w:val="en-GB"/>
              </w:rPr>
              <w:t>Predictability (n</w:t>
            </w:r>
            <w:r w:rsidRPr="00D51EF4">
              <w:rPr>
                <w:rFonts w:ascii="Calibri" w:hAnsi="Calibri" w:cs="Calibri"/>
                <w:color w:val="000000"/>
                <w:sz w:val="22"/>
                <w:szCs w:val="22"/>
                <w:vertAlign w:val="subscript"/>
                <w:lang w:val="en-GB"/>
              </w:rPr>
              <w:t>NGO</w:t>
            </w:r>
            <w:r w:rsidRPr="00D51EF4">
              <w:rPr>
                <w:rFonts w:ascii="Calibri" w:hAnsi="Calibri" w:cs="Calibri"/>
                <w:color w:val="000000"/>
                <w:sz w:val="22"/>
                <w:szCs w:val="22"/>
                <w:lang w:val="en-GB"/>
              </w:rPr>
              <w:t xml:space="preserve"> = 600, n</w:t>
            </w:r>
            <w:r w:rsidRPr="00D51EF4">
              <w:rPr>
                <w:rFonts w:ascii="Calibri" w:hAnsi="Calibri" w:cs="Calibri"/>
                <w:color w:val="000000"/>
                <w:sz w:val="22"/>
                <w:szCs w:val="22"/>
                <w:vertAlign w:val="subscript"/>
                <w:lang w:val="en-GB"/>
              </w:rPr>
              <w:t>COOP/CU</w:t>
            </w:r>
            <w:r w:rsidRPr="00D51EF4">
              <w:rPr>
                <w:rFonts w:ascii="Calibri" w:hAnsi="Calibri" w:cs="Calibri"/>
                <w:color w:val="000000"/>
                <w:sz w:val="22"/>
                <w:szCs w:val="22"/>
                <w:lang w:val="en-GB"/>
              </w:rPr>
              <w:t xml:space="preserve"> = 142)</w:t>
            </w:r>
          </w:p>
        </w:tc>
        <w:tc>
          <w:tcPr>
            <w:tcW w:w="851" w:type="dxa"/>
            <w:tcBorders>
              <w:top w:val="nil"/>
              <w:left w:val="nil"/>
              <w:bottom w:val="nil"/>
              <w:right w:val="nil"/>
            </w:tcBorders>
            <w:shd w:val="clear" w:color="auto" w:fill="auto"/>
            <w:noWrap/>
            <w:vAlign w:val="bottom"/>
            <w:hideMark/>
          </w:tcPr>
          <w:p w14:paraId="1A9E98CA" w14:textId="77777777" w:rsidR="00BB6BD6" w:rsidRPr="00D51EF4" w:rsidRDefault="00BB6BD6" w:rsidP="00BB6BD6">
            <w:pPr>
              <w:jc w:val="right"/>
              <w:rPr>
                <w:rFonts w:ascii="Calibri" w:hAnsi="Calibri" w:cs="Calibri"/>
                <w:color w:val="000000"/>
                <w:sz w:val="22"/>
                <w:szCs w:val="22"/>
                <w:lang w:val="en-GB"/>
              </w:rPr>
            </w:pPr>
            <w:r w:rsidRPr="00D51EF4">
              <w:rPr>
                <w:rFonts w:ascii="Calibri" w:hAnsi="Calibri" w:cs="Calibri"/>
                <w:color w:val="000000"/>
                <w:sz w:val="22"/>
                <w:szCs w:val="22"/>
                <w:lang w:val="en-GB"/>
              </w:rPr>
              <w:t>35.06 %</w:t>
            </w:r>
          </w:p>
        </w:tc>
        <w:tc>
          <w:tcPr>
            <w:tcW w:w="1302" w:type="dxa"/>
            <w:tcBorders>
              <w:top w:val="nil"/>
              <w:left w:val="nil"/>
              <w:bottom w:val="nil"/>
              <w:right w:val="nil"/>
            </w:tcBorders>
            <w:shd w:val="clear" w:color="auto" w:fill="auto"/>
            <w:noWrap/>
            <w:vAlign w:val="bottom"/>
            <w:hideMark/>
          </w:tcPr>
          <w:p w14:paraId="51584397" w14:textId="77777777" w:rsidR="00BB6BD6" w:rsidRPr="00D51EF4" w:rsidRDefault="00BB6BD6" w:rsidP="00BB6BD6">
            <w:pPr>
              <w:jc w:val="right"/>
              <w:rPr>
                <w:rFonts w:ascii="Calibri" w:hAnsi="Calibri" w:cs="Calibri"/>
                <w:color w:val="000000"/>
                <w:sz w:val="22"/>
                <w:szCs w:val="22"/>
                <w:lang w:val="en-GB"/>
              </w:rPr>
            </w:pPr>
            <w:r w:rsidRPr="00D51EF4">
              <w:rPr>
                <w:rFonts w:ascii="Calibri" w:hAnsi="Calibri" w:cs="Calibri"/>
                <w:color w:val="000000"/>
                <w:sz w:val="22"/>
                <w:szCs w:val="22"/>
                <w:lang w:val="en-GB"/>
              </w:rPr>
              <w:t>29.45 %</w:t>
            </w:r>
          </w:p>
        </w:tc>
        <w:tc>
          <w:tcPr>
            <w:tcW w:w="1444" w:type="dxa"/>
            <w:gridSpan w:val="2"/>
            <w:tcBorders>
              <w:top w:val="nil"/>
              <w:left w:val="nil"/>
              <w:bottom w:val="nil"/>
              <w:right w:val="nil"/>
            </w:tcBorders>
            <w:shd w:val="clear" w:color="auto" w:fill="auto"/>
            <w:noWrap/>
            <w:vAlign w:val="bottom"/>
            <w:hideMark/>
          </w:tcPr>
          <w:p w14:paraId="4225E4C4" w14:textId="77777777" w:rsidR="00BB6BD6" w:rsidRPr="00D51EF4" w:rsidRDefault="00BB6BD6" w:rsidP="00BB6BD6">
            <w:pPr>
              <w:jc w:val="right"/>
              <w:rPr>
                <w:rFonts w:ascii="Calibri" w:hAnsi="Calibri" w:cs="Calibri"/>
                <w:color w:val="000000"/>
                <w:sz w:val="22"/>
                <w:szCs w:val="22"/>
                <w:lang w:val="en-GB"/>
              </w:rPr>
            </w:pPr>
            <w:r w:rsidRPr="00D51EF4">
              <w:rPr>
                <w:rFonts w:ascii="Calibri" w:hAnsi="Calibri" w:cs="Calibri"/>
                <w:color w:val="000000"/>
                <w:sz w:val="22"/>
                <w:szCs w:val="22"/>
                <w:lang w:val="en-GB"/>
              </w:rPr>
              <w:t>0.40</w:t>
            </w:r>
          </w:p>
        </w:tc>
      </w:tr>
      <w:tr w:rsidR="00BB6BD6" w:rsidRPr="00D51EF4" w14:paraId="5D4D08A2" w14:textId="77777777" w:rsidTr="00A845F0">
        <w:trPr>
          <w:trHeight w:val="300"/>
        </w:trPr>
        <w:tc>
          <w:tcPr>
            <w:tcW w:w="5685" w:type="dxa"/>
            <w:tcBorders>
              <w:top w:val="nil"/>
              <w:left w:val="nil"/>
              <w:bottom w:val="nil"/>
              <w:right w:val="nil"/>
            </w:tcBorders>
            <w:shd w:val="clear" w:color="auto" w:fill="auto"/>
            <w:noWrap/>
            <w:vAlign w:val="bottom"/>
            <w:hideMark/>
          </w:tcPr>
          <w:p w14:paraId="402370DF" w14:textId="77777777" w:rsidR="00BB6BD6" w:rsidRPr="00D51EF4" w:rsidRDefault="00BB6BD6" w:rsidP="00BB6BD6">
            <w:pPr>
              <w:rPr>
                <w:rFonts w:ascii="Calibri" w:hAnsi="Calibri" w:cs="Calibri"/>
                <w:color w:val="000000"/>
                <w:sz w:val="22"/>
                <w:szCs w:val="22"/>
                <w:lang w:val="en-GB"/>
              </w:rPr>
            </w:pPr>
            <w:r w:rsidRPr="00D51EF4">
              <w:rPr>
                <w:rFonts w:ascii="Calibri" w:hAnsi="Calibri" w:cs="Calibri"/>
                <w:color w:val="000000"/>
                <w:sz w:val="22"/>
                <w:szCs w:val="22"/>
                <w:lang w:val="en-GB"/>
              </w:rPr>
              <w:t>Earnings management</w:t>
            </w:r>
          </w:p>
        </w:tc>
        <w:tc>
          <w:tcPr>
            <w:tcW w:w="851" w:type="dxa"/>
            <w:tcBorders>
              <w:top w:val="nil"/>
              <w:left w:val="nil"/>
              <w:bottom w:val="nil"/>
              <w:right w:val="nil"/>
            </w:tcBorders>
            <w:shd w:val="clear" w:color="auto" w:fill="auto"/>
            <w:noWrap/>
            <w:vAlign w:val="bottom"/>
            <w:hideMark/>
          </w:tcPr>
          <w:p w14:paraId="2AADEABD" w14:textId="77777777" w:rsidR="00BB6BD6" w:rsidRPr="00D51EF4" w:rsidRDefault="00BB6BD6" w:rsidP="00BB6BD6">
            <w:pPr>
              <w:rPr>
                <w:rFonts w:ascii="Calibri" w:hAnsi="Calibri" w:cs="Calibri"/>
                <w:color w:val="000000"/>
                <w:sz w:val="22"/>
                <w:szCs w:val="22"/>
                <w:lang w:val="en-GB"/>
              </w:rPr>
            </w:pPr>
          </w:p>
        </w:tc>
        <w:tc>
          <w:tcPr>
            <w:tcW w:w="1302" w:type="dxa"/>
            <w:tcBorders>
              <w:top w:val="nil"/>
              <w:left w:val="nil"/>
              <w:bottom w:val="nil"/>
              <w:right w:val="nil"/>
            </w:tcBorders>
            <w:shd w:val="clear" w:color="auto" w:fill="auto"/>
            <w:noWrap/>
            <w:vAlign w:val="bottom"/>
            <w:hideMark/>
          </w:tcPr>
          <w:p w14:paraId="6D131253" w14:textId="77777777" w:rsidR="00BB6BD6" w:rsidRPr="00D51EF4" w:rsidRDefault="00BB6BD6" w:rsidP="00BB6BD6">
            <w:pPr>
              <w:rPr>
                <w:rFonts w:ascii="Calibri" w:hAnsi="Calibri" w:cs="Calibri"/>
                <w:color w:val="000000"/>
                <w:sz w:val="22"/>
                <w:szCs w:val="22"/>
                <w:lang w:val="en-GB"/>
              </w:rPr>
            </w:pPr>
          </w:p>
        </w:tc>
        <w:tc>
          <w:tcPr>
            <w:tcW w:w="1444" w:type="dxa"/>
            <w:gridSpan w:val="2"/>
            <w:tcBorders>
              <w:top w:val="nil"/>
              <w:left w:val="nil"/>
              <w:bottom w:val="nil"/>
              <w:right w:val="nil"/>
            </w:tcBorders>
            <w:shd w:val="clear" w:color="auto" w:fill="auto"/>
            <w:noWrap/>
            <w:vAlign w:val="bottom"/>
            <w:hideMark/>
          </w:tcPr>
          <w:p w14:paraId="0FB2E6CD" w14:textId="77777777" w:rsidR="00BB6BD6" w:rsidRPr="00D51EF4" w:rsidRDefault="00BB6BD6" w:rsidP="00BB6BD6">
            <w:pPr>
              <w:rPr>
                <w:rFonts w:ascii="Calibri" w:hAnsi="Calibri" w:cs="Calibri"/>
                <w:color w:val="000000"/>
                <w:sz w:val="22"/>
                <w:szCs w:val="22"/>
                <w:lang w:val="en-GB"/>
              </w:rPr>
            </w:pPr>
          </w:p>
        </w:tc>
      </w:tr>
      <w:tr w:rsidR="00BB6BD6" w:rsidRPr="00D51EF4" w14:paraId="37E97286" w14:textId="77777777" w:rsidTr="00A845F0">
        <w:trPr>
          <w:trHeight w:val="360"/>
        </w:trPr>
        <w:tc>
          <w:tcPr>
            <w:tcW w:w="5685" w:type="dxa"/>
            <w:tcBorders>
              <w:top w:val="nil"/>
              <w:left w:val="nil"/>
              <w:bottom w:val="nil"/>
              <w:right w:val="nil"/>
            </w:tcBorders>
            <w:shd w:val="clear" w:color="auto" w:fill="auto"/>
            <w:noWrap/>
            <w:vAlign w:val="bottom"/>
            <w:hideMark/>
          </w:tcPr>
          <w:p w14:paraId="6F511799" w14:textId="77777777" w:rsidR="00BB6BD6" w:rsidRPr="00D51EF4" w:rsidRDefault="00BB6BD6" w:rsidP="00BB6BD6">
            <w:pPr>
              <w:rPr>
                <w:rFonts w:ascii="Calibri" w:hAnsi="Calibri" w:cs="Calibri"/>
                <w:color w:val="000000"/>
                <w:sz w:val="22"/>
                <w:szCs w:val="22"/>
                <w:lang w:val="en-GB"/>
              </w:rPr>
            </w:pPr>
            <w:r w:rsidRPr="00D51EF4">
              <w:rPr>
                <w:rFonts w:ascii="Calibri" w:hAnsi="Calibri" w:cs="Calibri"/>
                <w:color w:val="000000"/>
                <w:sz w:val="22"/>
                <w:szCs w:val="22"/>
                <w:lang w:val="en-GB"/>
              </w:rPr>
              <w:t xml:space="preserve">     - St. dev. of change in earnings (n</w:t>
            </w:r>
            <w:r w:rsidRPr="00D51EF4">
              <w:rPr>
                <w:rFonts w:ascii="Calibri" w:hAnsi="Calibri" w:cs="Calibri"/>
                <w:color w:val="000000"/>
                <w:sz w:val="22"/>
                <w:szCs w:val="22"/>
                <w:vertAlign w:val="subscript"/>
                <w:lang w:val="en-GB"/>
              </w:rPr>
              <w:t>NGO</w:t>
            </w:r>
            <w:r w:rsidRPr="00D51EF4">
              <w:rPr>
                <w:rFonts w:ascii="Calibri" w:hAnsi="Calibri" w:cs="Calibri"/>
                <w:color w:val="000000"/>
                <w:sz w:val="22"/>
                <w:szCs w:val="22"/>
                <w:lang w:val="en-GB"/>
              </w:rPr>
              <w:t xml:space="preserve"> = 600, n</w:t>
            </w:r>
            <w:r w:rsidRPr="00D51EF4">
              <w:rPr>
                <w:rFonts w:ascii="Calibri" w:hAnsi="Calibri" w:cs="Calibri"/>
                <w:color w:val="000000"/>
                <w:sz w:val="22"/>
                <w:szCs w:val="22"/>
                <w:vertAlign w:val="subscript"/>
                <w:lang w:val="en-GB"/>
              </w:rPr>
              <w:t>COOP/CU</w:t>
            </w:r>
            <w:r w:rsidRPr="00D51EF4">
              <w:rPr>
                <w:rFonts w:ascii="Calibri" w:hAnsi="Calibri" w:cs="Calibri"/>
                <w:color w:val="000000"/>
                <w:sz w:val="22"/>
                <w:szCs w:val="22"/>
                <w:lang w:val="en-GB"/>
              </w:rPr>
              <w:t xml:space="preserve"> = 143)</w:t>
            </w:r>
          </w:p>
        </w:tc>
        <w:tc>
          <w:tcPr>
            <w:tcW w:w="851" w:type="dxa"/>
            <w:tcBorders>
              <w:top w:val="nil"/>
              <w:left w:val="nil"/>
              <w:bottom w:val="nil"/>
              <w:right w:val="nil"/>
            </w:tcBorders>
            <w:shd w:val="clear" w:color="auto" w:fill="auto"/>
            <w:noWrap/>
            <w:vAlign w:val="bottom"/>
            <w:hideMark/>
          </w:tcPr>
          <w:p w14:paraId="1503463D" w14:textId="77777777" w:rsidR="00BB6BD6" w:rsidRPr="00D51EF4" w:rsidRDefault="00BB6BD6" w:rsidP="00BB6BD6">
            <w:pPr>
              <w:jc w:val="right"/>
              <w:rPr>
                <w:rFonts w:ascii="Calibri" w:hAnsi="Calibri" w:cs="Calibri"/>
                <w:color w:val="000000"/>
                <w:sz w:val="22"/>
                <w:szCs w:val="22"/>
                <w:lang w:val="en-GB"/>
              </w:rPr>
            </w:pPr>
            <w:r w:rsidRPr="00D51EF4">
              <w:rPr>
                <w:rFonts w:ascii="Calibri" w:hAnsi="Calibri" w:cs="Calibri"/>
                <w:color w:val="000000"/>
                <w:sz w:val="22"/>
                <w:szCs w:val="22"/>
                <w:lang w:val="en-GB"/>
              </w:rPr>
              <w:t>0.10</w:t>
            </w:r>
          </w:p>
        </w:tc>
        <w:tc>
          <w:tcPr>
            <w:tcW w:w="1302" w:type="dxa"/>
            <w:tcBorders>
              <w:top w:val="nil"/>
              <w:left w:val="nil"/>
              <w:bottom w:val="nil"/>
              <w:right w:val="nil"/>
            </w:tcBorders>
            <w:shd w:val="clear" w:color="auto" w:fill="auto"/>
            <w:noWrap/>
            <w:vAlign w:val="bottom"/>
            <w:hideMark/>
          </w:tcPr>
          <w:p w14:paraId="39AA5D2A" w14:textId="77777777" w:rsidR="00BB6BD6" w:rsidRPr="00D51EF4" w:rsidRDefault="00BB6BD6" w:rsidP="00BB6BD6">
            <w:pPr>
              <w:jc w:val="right"/>
              <w:rPr>
                <w:rFonts w:ascii="Calibri" w:hAnsi="Calibri" w:cs="Calibri"/>
                <w:color w:val="000000"/>
                <w:sz w:val="22"/>
                <w:szCs w:val="22"/>
                <w:lang w:val="en-GB"/>
              </w:rPr>
            </w:pPr>
            <w:r w:rsidRPr="00D51EF4">
              <w:rPr>
                <w:rFonts w:ascii="Calibri" w:hAnsi="Calibri" w:cs="Calibri"/>
                <w:color w:val="000000"/>
                <w:sz w:val="22"/>
                <w:szCs w:val="22"/>
                <w:lang w:val="en-GB"/>
              </w:rPr>
              <w:t>0.04</w:t>
            </w:r>
          </w:p>
        </w:tc>
        <w:tc>
          <w:tcPr>
            <w:tcW w:w="1444" w:type="dxa"/>
            <w:gridSpan w:val="2"/>
            <w:tcBorders>
              <w:top w:val="nil"/>
              <w:left w:val="nil"/>
              <w:bottom w:val="nil"/>
              <w:right w:val="nil"/>
            </w:tcBorders>
            <w:shd w:val="clear" w:color="auto" w:fill="auto"/>
            <w:noWrap/>
            <w:vAlign w:val="bottom"/>
            <w:hideMark/>
          </w:tcPr>
          <w:p w14:paraId="57C4E747" w14:textId="77777777" w:rsidR="00BB6BD6" w:rsidRPr="00D51EF4" w:rsidRDefault="00BB6BD6" w:rsidP="00BB6BD6">
            <w:pPr>
              <w:jc w:val="right"/>
              <w:rPr>
                <w:rFonts w:ascii="Calibri" w:hAnsi="Calibri" w:cs="Calibri"/>
                <w:color w:val="000000"/>
                <w:sz w:val="22"/>
                <w:szCs w:val="22"/>
                <w:lang w:val="en-GB"/>
              </w:rPr>
            </w:pPr>
            <w:r w:rsidRPr="00D51EF4">
              <w:rPr>
                <w:rFonts w:ascii="Calibri" w:hAnsi="Calibri" w:cs="Calibri"/>
                <w:color w:val="000000"/>
                <w:sz w:val="22"/>
                <w:szCs w:val="22"/>
                <w:lang w:val="en-GB"/>
              </w:rPr>
              <w:t>0.00</w:t>
            </w:r>
          </w:p>
        </w:tc>
      </w:tr>
      <w:tr w:rsidR="00BB6BD6" w:rsidRPr="00D51EF4" w14:paraId="1E1F4AA2" w14:textId="77777777" w:rsidTr="00A845F0">
        <w:trPr>
          <w:trHeight w:val="360"/>
        </w:trPr>
        <w:tc>
          <w:tcPr>
            <w:tcW w:w="5685" w:type="dxa"/>
            <w:tcBorders>
              <w:top w:val="nil"/>
              <w:left w:val="nil"/>
              <w:bottom w:val="nil"/>
              <w:right w:val="nil"/>
            </w:tcBorders>
            <w:shd w:val="clear" w:color="auto" w:fill="auto"/>
            <w:noWrap/>
            <w:vAlign w:val="bottom"/>
            <w:hideMark/>
          </w:tcPr>
          <w:p w14:paraId="11DB4F75" w14:textId="59632613" w:rsidR="00BB6BD6" w:rsidRPr="00D51EF4" w:rsidRDefault="00BB6BD6" w:rsidP="00BB6BD6">
            <w:pPr>
              <w:rPr>
                <w:rFonts w:ascii="Calibri" w:hAnsi="Calibri" w:cs="Calibri"/>
                <w:color w:val="000000"/>
                <w:sz w:val="22"/>
                <w:szCs w:val="22"/>
                <w:lang w:val="en-GB"/>
              </w:rPr>
            </w:pPr>
            <w:r w:rsidRPr="00D51EF4">
              <w:rPr>
                <w:rFonts w:ascii="Calibri" w:hAnsi="Calibri" w:cs="Calibri"/>
                <w:color w:val="000000"/>
                <w:sz w:val="22"/>
                <w:szCs w:val="22"/>
                <w:lang w:val="en-GB"/>
              </w:rPr>
              <w:t xml:space="preserve">     - Small</w:t>
            </w:r>
            <w:r w:rsidR="00E33AF9" w:rsidRPr="00D51EF4">
              <w:rPr>
                <w:rFonts w:ascii="Calibri" w:hAnsi="Calibri" w:cs="Calibri"/>
                <w:color w:val="000000"/>
                <w:sz w:val="22"/>
                <w:szCs w:val="22"/>
                <w:lang w:val="en-GB"/>
              </w:rPr>
              <w:t>-</w:t>
            </w:r>
            <w:r w:rsidRPr="00D51EF4">
              <w:rPr>
                <w:rFonts w:ascii="Calibri" w:hAnsi="Calibri" w:cs="Calibri"/>
                <w:color w:val="000000"/>
                <w:sz w:val="22"/>
                <w:szCs w:val="22"/>
                <w:lang w:val="en-GB"/>
              </w:rPr>
              <w:t>profit proportion (</w:t>
            </w:r>
            <w:proofErr w:type="spellStart"/>
            <w:r w:rsidRPr="00D51EF4">
              <w:rPr>
                <w:rFonts w:ascii="Calibri" w:hAnsi="Calibri" w:cs="Calibri"/>
                <w:color w:val="000000"/>
                <w:sz w:val="22"/>
                <w:szCs w:val="22"/>
                <w:lang w:val="en-GB"/>
              </w:rPr>
              <w:t>n</w:t>
            </w:r>
            <w:r w:rsidRPr="00D51EF4">
              <w:rPr>
                <w:rFonts w:ascii="Calibri" w:hAnsi="Calibri" w:cs="Calibri"/>
                <w:color w:val="000000"/>
                <w:sz w:val="22"/>
                <w:szCs w:val="22"/>
                <w:vertAlign w:val="subscript"/>
                <w:lang w:val="en-GB"/>
              </w:rPr>
              <w:t>NGO</w:t>
            </w:r>
            <w:proofErr w:type="spellEnd"/>
            <w:r w:rsidRPr="00D51EF4">
              <w:rPr>
                <w:rFonts w:ascii="Calibri" w:hAnsi="Calibri" w:cs="Calibri"/>
                <w:color w:val="000000"/>
                <w:sz w:val="22"/>
                <w:szCs w:val="22"/>
                <w:lang w:val="en-GB"/>
              </w:rPr>
              <w:t xml:space="preserve"> = 807, </w:t>
            </w:r>
            <w:proofErr w:type="spellStart"/>
            <w:r w:rsidRPr="00D51EF4">
              <w:rPr>
                <w:rFonts w:ascii="Calibri" w:hAnsi="Calibri" w:cs="Calibri"/>
                <w:color w:val="000000"/>
                <w:sz w:val="22"/>
                <w:szCs w:val="22"/>
                <w:lang w:val="en-GB"/>
              </w:rPr>
              <w:t>n</w:t>
            </w:r>
            <w:r w:rsidRPr="00D51EF4">
              <w:rPr>
                <w:rFonts w:ascii="Calibri" w:hAnsi="Calibri" w:cs="Calibri"/>
                <w:color w:val="000000"/>
                <w:sz w:val="22"/>
                <w:szCs w:val="22"/>
                <w:vertAlign w:val="subscript"/>
                <w:lang w:val="en-GB"/>
              </w:rPr>
              <w:t>COOP</w:t>
            </w:r>
            <w:proofErr w:type="spellEnd"/>
            <w:r w:rsidRPr="00D51EF4">
              <w:rPr>
                <w:rFonts w:ascii="Calibri" w:hAnsi="Calibri" w:cs="Calibri"/>
                <w:color w:val="000000"/>
                <w:sz w:val="22"/>
                <w:szCs w:val="22"/>
                <w:vertAlign w:val="subscript"/>
                <w:lang w:val="en-GB"/>
              </w:rPr>
              <w:t>/CU</w:t>
            </w:r>
            <w:r w:rsidRPr="00D51EF4">
              <w:rPr>
                <w:rFonts w:ascii="Calibri" w:hAnsi="Calibri" w:cs="Calibri"/>
                <w:color w:val="000000"/>
                <w:sz w:val="22"/>
                <w:szCs w:val="22"/>
                <w:lang w:val="en-GB"/>
              </w:rPr>
              <w:t xml:space="preserve"> = 202)</w:t>
            </w:r>
          </w:p>
        </w:tc>
        <w:tc>
          <w:tcPr>
            <w:tcW w:w="851" w:type="dxa"/>
            <w:tcBorders>
              <w:top w:val="nil"/>
              <w:left w:val="nil"/>
              <w:bottom w:val="nil"/>
              <w:right w:val="nil"/>
            </w:tcBorders>
            <w:shd w:val="clear" w:color="auto" w:fill="auto"/>
            <w:noWrap/>
            <w:vAlign w:val="bottom"/>
            <w:hideMark/>
          </w:tcPr>
          <w:p w14:paraId="2583E7A3" w14:textId="77777777" w:rsidR="00BB6BD6" w:rsidRPr="00D51EF4" w:rsidRDefault="00BB6BD6" w:rsidP="00BB6BD6">
            <w:pPr>
              <w:jc w:val="right"/>
              <w:rPr>
                <w:rFonts w:ascii="Calibri" w:hAnsi="Calibri" w:cs="Calibri"/>
                <w:color w:val="000000"/>
                <w:sz w:val="22"/>
                <w:szCs w:val="22"/>
                <w:lang w:val="en-GB"/>
              </w:rPr>
            </w:pPr>
            <w:r w:rsidRPr="00D51EF4">
              <w:rPr>
                <w:rFonts w:ascii="Calibri" w:hAnsi="Calibri" w:cs="Calibri"/>
                <w:color w:val="000000"/>
                <w:sz w:val="22"/>
                <w:szCs w:val="22"/>
                <w:lang w:val="en-GB"/>
              </w:rPr>
              <w:t>7.4 %</w:t>
            </w:r>
          </w:p>
        </w:tc>
        <w:tc>
          <w:tcPr>
            <w:tcW w:w="1302" w:type="dxa"/>
            <w:tcBorders>
              <w:top w:val="nil"/>
              <w:left w:val="nil"/>
              <w:bottom w:val="nil"/>
              <w:right w:val="nil"/>
            </w:tcBorders>
            <w:shd w:val="clear" w:color="auto" w:fill="auto"/>
            <w:noWrap/>
            <w:vAlign w:val="bottom"/>
            <w:hideMark/>
          </w:tcPr>
          <w:p w14:paraId="505A3187" w14:textId="77777777" w:rsidR="00BB6BD6" w:rsidRPr="00D51EF4" w:rsidRDefault="00BB6BD6" w:rsidP="00BB6BD6">
            <w:pPr>
              <w:jc w:val="right"/>
              <w:rPr>
                <w:rFonts w:ascii="Calibri" w:hAnsi="Calibri" w:cs="Calibri"/>
                <w:color w:val="000000"/>
                <w:sz w:val="22"/>
                <w:szCs w:val="22"/>
                <w:lang w:val="en-GB"/>
              </w:rPr>
            </w:pPr>
            <w:r w:rsidRPr="00D51EF4">
              <w:rPr>
                <w:rFonts w:ascii="Calibri" w:hAnsi="Calibri" w:cs="Calibri"/>
                <w:color w:val="000000"/>
                <w:sz w:val="22"/>
                <w:szCs w:val="22"/>
                <w:lang w:val="en-GB"/>
              </w:rPr>
              <w:t>18.8 %</w:t>
            </w:r>
          </w:p>
        </w:tc>
        <w:tc>
          <w:tcPr>
            <w:tcW w:w="1444" w:type="dxa"/>
            <w:gridSpan w:val="2"/>
            <w:tcBorders>
              <w:top w:val="nil"/>
              <w:left w:val="nil"/>
              <w:bottom w:val="nil"/>
              <w:right w:val="nil"/>
            </w:tcBorders>
            <w:shd w:val="clear" w:color="auto" w:fill="auto"/>
            <w:noWrap/>
            <w:vAlign w:val="bottom"/>
            <w:hideMark/>
          </w:tcPr>
          <w:p w14:paraId="2F2AF5AA" w14:textId="77777777" w:rsidR="00BB6BD6" w:rsidRPr="00D51EF4" w:rsidRDefault="00BB6BD6" w:rsidP="00BB6BD6">
            <w:pPr>
              <w:jc w:val="right"/>
              <w:rPr>
                <w:rFonts w:ascii="Calibri" w:hAnsi="Calibri" w:cs="Calibri"/>
                <w:color w:val="000000"/>
                <w:sz w:val="22"/>
                <w:szCs w:val="22"/>
                <w:lang w:val="en-GB"/>
              </w:rPr>
            </w:pPr>
            <w:r w:rsidRPr="00D51EF4">
              <w:rPr>
                <w:rFonts w:ascii="Calibri" w:hAnsi="Calibri" w:cs="Calibri"/>
                <w:color w:val="000000"/>
                <w:sz w:val="22"/>
                <w:szCs w:val="22"/>
                <w:lang w:val="en-GB"/>
              </w:rPr>
              <w:t>0.00</w:t>
            </w:r>
          </w:p>
        </w:tc>
      </w:tr>
      <w:tr w:rsidR="00BB6BD6" w:rsidRPr="00D51EF4" w14:paraId="7E5DBFF6" w14:textId="77777777" w:rsidTr="00A845F0">
        <w:trPr>
          <w:trHeight w:val="360"/>
        </w:trPr>
        <w:tc>
          <w:tcPr>
            <w:tcW w:w="5685" w:type="dxa"/>
            <w:tcBorders>
              <w:top w:val="nil"/>
              <w:left w:val="nil"/>
              <w:bottom w:val="nil"/>
              <w:right w:val="nil"/>
            </w:tcBorders>
            <w:shd w:val="clear" w:color="auto" w:fill="auto"/>
            <w:noWrap/>
            <w:vAlign w:val="bottom"/>
            <w:hideMark/>
          </w:tcPr>
          <w:p w14:paraId="317EF475" w14:textId="4BB895B9" w:rsidR="00BB6BD6" w:rsidRPr="00D51EF4" w:rsidRDefault="00BB6BD6" w:rsidP="00BB6BD6">
            <w:pPr>
              <w:rPr>
                <w:rFonts w:ascii="Calibri" w:hAnsi="Calibri" w:cs="Calibri"/>
                <w:color w:val="000000"/>
                <w:sz w:val="22"/>
                <w:szCs w:val="22"/>
                <w:lang w:val="en-GB"/>
              </w:rPr>
            </w:pPr>
            <w:r w:rsidRPr="00D51EF4">
              <w:rPr>
                <w:rFonts w:ascii="Calibri" w:hAnsi="Calibri" w:cs="Calibri"/>
                <w:color w:val="000000"/>
                <w:sz w:val="22"/>
                <w:szCs w:val="22"/>
                <w:lang w:val="en-GB"/>
              </w:rPr>
              <w:t xml:space="preserve">     - Large</w:t>
            </w:r>
            <w:r w:rsidR="00E33AF9" w:rsidRPr="00D51EF4">
              <w:rPr>
                <w:rFonts w:ascii="Calibri" w:hAnsi="Calibri" w:cs="Calibri"/>
                <w:color w:val="000000"/>
                <w:sz w:val="22"/>
                <w:szCs w:val="22"/>
                <w:lang w:val="en-GB"/>
              </w:rPr>
              <w:t>-</w:t>
            </w:r>
            <w:r w:rsidRPr="00D51EF4">
              <w:rPr>
                <w:rFonts w:ascii="Calibri" w:hAnsi="Calibri" w:cs="Calibri"/>
                <w:color w:val="000000"/>
                <w:sz w:val="22"/>
                <w:szCs w:val="22"/>
                <w:lang w:val="en-GB"/>
              </w:rPr>
              <w:t>loss proportion (</w:t>
            </w:r>
            <w:proofErr w:type="spellStart"/>
            <w:r w:rsidRPr="00D51EF4">
              <w:rPr>
                <w:rFonts w:ascii="Calibri" w:hAnsi="Calibri" w:cs="Calibri"/>
                <w:color w:val="000000"/>
                <w:sz w:val="22"/>
                <w:szCs w:val="22"/>
                <w:lang w:val="en-GB"/>
              </w:rPr>
              <w:t>n</w:t>
            </w:r>
            <w:r w:rsidRPr="00D51EF4">
              <w:rPr>
                <w:rFonts w:ascii="Calibri" w:hAnsi="Calibri" w:cs="Calibri"/>
                <w:color w:val="000000"/>
                <w:sz w:val="22"/>
                <w:szCs w:val="22"/>
                <w:vertAlign w:val="subscript"/>
                <w:lang w:val="en-GB"/>
              </w:rPr>
              <w:t>NGO</w:t>
            </w:r>
            <w:proofErr w:type="spellEnd"/>
            <w:r w:rsidRPr="00D51EF4">
              <w:rPr>
                <w:rFonts w:ascii="Calibri" w:hAnsi="Calibri" w:cs="Calibri"/>
                <w:color w:val="000000"/>
                <w:sz w:val="22"/>
                <w:szCs w:val="22"/>
                <w:lang w:val="en-GB"/>
              </w:rPr>
              <w:t xml:space="preserve"> = 807, </w:t>
            </w:r>
            <w:proofErr w:type="spellStart"/>
            <w:r w:rsidRPr="00D51EF4">
              <w:rPr>
                <w:rFonts w:ascii="Calibri" w:hAnsi="Calibri" w:cs="Calibri"/>
                <w:color w:val="000000"/>
                <w:sz w:val="22"/>
                <w:szCs w:val="22"/>
                <w:lang w:val="en-GB"/>
              </w:rPr>
              <w:t>n</w:t>
            </w:r>
            <w:r w:rsidRPr="00D51EF4">
              <w:rPr>
                <w:rFonts w:ascii="Calibri" w:hAnsi="Calibri" w:cs="Calibri"/>
                <w:color w:val="000000"/>
                <w:sz w:val="22"/>
                <w:szCs w:val="22"/>
                <w:vertAlign w:val="subscript"/>
                <w:lang w:val="en-GB"/>
              </w:rPr>
              <w:t>COOP</w:t>
            </w:r>
            <w:proofErr w:type="spellEnd"/>
            <w:r w:rsidRPr="00D51EF4">
              <w:rPr>
                <w:rFonts w:ascii="Calibri" w:hAnsi="Calibri" w:cs="Calibri"/>
                <w:color w:val="000000"/>
                <w:sz w:val="22"/>
                <w:szCs w:val="22"/>
                <w:vertAlign w:val="subscript"/>
                <w:lang w:val="en-GB"/>
              </w:rPr>
              <w:t>/CU</w:t>
            </w:r>
            <w:r w:rsidRPr="00D51EF4">
              <w:rPr>
                <w:rFonts w:ascii="Calibri" w:hAnsi="Calibri" w:cs="Calibri"/>
                <w:color w:val="000000"/>
                <w:sz w:val="22"/>
                <w:szCs w:val="22"/>
                <w:lang w:val="en-GB"/>
              </w:rPr>
              <w:t xml:space="preserve"> = 202)</w:t>
            </w:r>
          </w:p>
        </w:tc>
        <w:tc>
          <w:tcPr>
            <w:tcW w:w="851" w:type="dxa"/>
            <w:tcBorders>
              <w:top w:val="nil"/>
              <w:left w:val="nil"/>
              <w:bottom w:val="nil"/>
              <w:right w:val="nil"/>
            </w:tcBorders>
            <w:shd w:val="clear" w:color="auto" w:fill="auto"/>
            <w:noWrap/>
            <w:vAlign w:val="bottom"/>
            <w:hideMark/>
          </w:tcPr>
          <w:p w14:paraId="6E74EA8B" w14:textId="77777777" w:rsidR="00BB6BD6" w:rsidRPr="00D51EF4" w:rsidRDefault="00BB6BD6" w:rsidP="00BB6BD6">
            <w:pPr>
              <w:jc w:val="right"/>
              <w:rPr>
                <w:rFonts w:ascii="Calibri" w:hAnsi="Calibri" w:cs="Calibri"/>
                <w:color w:val="000000"/>
                <w:sz w:val="22"/>
                <w:szCs w:val="22"/>
                <w:lang w:val="en-GB"/>
              </w:rPr>
            </w:pPr>
            <w:r w:rsidRPr="00D51EF4">
              <w:rPr>
                <w:rFonts w:ascii="Calibri" w:hAnsi="Calibri" w:cs="Calibri"/>
                <w:color w:val="000000"/>
                <w:sz w:val="22"/>
                <w:szCs w:val="22"/>
                <w:lang w:val="en-GB"/>
              </w:rPr>
              <w:t>3.8 %</w:t>
            </w:r>
          </w:p>
        </w:tc>
        <w:tc>
          <w:tcPr>
            <w:tcW w:w="1302" w:type="dxa"/>
            <w:tcBorders>
              <w:top w:val="nil"/>
              <w:left w:val="nil"/>
              <w:bottom w:val="nil"/>
              <w:right w:val="nil"/>
            </w:tcBorders>
            <w:shd w:val="clear" w:color="auto" w:fill="auto"/>
            <w:noWrap/>
            <w:vAlign w:val="bottom"/>
            <w:hideMark/>
          </w:tcPr>
          <w:p w14:paraId="1656BFA0" w14:textId="77777777" w:rsidR="00BB6BD6" w:rsidRPr="00D51EF4" w:rsidRDefault="00BB6BD6" w:rsidP="00BB6BD6">
            <w:pPr>
              <w:jc w:val="right"/>
              <w:rPr>
                <w:rFonts w:ascii="Calibri" w:hAnsi="Calibri" w:cs="Calibri"/>
                <w:color w:val="000000"/>
                <w:sz w:val="22"/>
                <w:szCs w:val="22"/>
                <w:lang w:val="en-GB"/>
              </w:rPr>
            </w:pPr>
            <w:r w:rsidRPr="00D51EF4">
              <w:rPr>
                <w:rFonts w:ascii="Calibri" w:hAnsi="Calibri" w:cs="Calibri"/>
                <w:color w:val="000000"/>
                <w:sz w:val="22"/>
                <w:szCs w:val="22"/>
                <w:lang w:val="en-GB"/>
              </w:rPr>
              <w:t>1.5 %</w:t>
            </w:r>
          </w:p>
        </w:tc>
        <w:tc>
          <w:tcPr>
            <w:tcW w:w="1444" w:type="dxa"/>
            <w:gridSpan w:val="2"/>
            <w:tcBorders>
              <w:top w:val="nil"/>
              <w:left w:val="nil"/>
              <w:bottom w:val="nil"/>
              <w:right w:val="nil"/>
            </w:tcBorders>
            <w:shd w:val="clear" w:color="auto" w:fill="auto"/>
            <w:noWrap/>
            <w:vAlign w:val="bottom"/>
            <w:hideMark/>
          </w:tcPr>
          <w:p w14:paraId="19020A9C" w14:textId="77777777" w:rsidR="00BB6BD6" w:rsidRPr="00D51EF4" w:rsidRDefault="00BB6BD6" w:rsidP="00BB6BD6">
            <w:pPr>
              <w:jc w:val="right"/>
              <w:rPr>
                <w:rFonts w:ascii="Calibri" w:hAnsi="Calibri" w:cs="Calibri"/>
                <w:color w:val="000000"/>
                <w:sz w:val="22"/>
                <w:szCs w:val="22"/>
                <w:lang w:val="en-GB"/>
              </w:rPr>
            </w:pPr>
            <w:r w:rsidRPr="00D51EF4">
              <w:rPr>
                <w:rFonts w:ascii="Calibri" w:hAnsi="Calibri" w:cs="Calibri"/>
                <w:color w:val="000000"/>
                <w:sz w:val="22"/>
                <w:szCs w:val="22"/>
                <w:lang w:val="en-GB"/>
              </w:rPr>
              <w:t>0.10</w:t>
            </w:r>
          </w:p>
        </w:tc>
      </w:tr>
      <w:tr w:rsidR="00BB6BD6" w:rsidRPr="00D51EF4" w14:paraId="1D9C7506" w14:textId="77777777" w:rsidTr="00A845F0">
        <w:trPr>
          <w:trHeight w:val="360"/>
        </w:trPr>
        <w:tc>
          <w:tcPr>
            <w:tcW w:w="5685" w:type="dxa"/>
            <w:tcBorders>
              <w:top w:val="nil"/>
              <w:left w:val="nil"/>
              <w:bottom w:val="nil"/>
              <w:right w:val="nil"/>
            </w:tcBorders>
            <w:shd w:val="clear" w:color="auto" w:fill="auto"/>
            <w:noWrap/>
            <w:vAlign w:val="bottom"/>
            <w:hideMark/>
          </w:tcPr>
          <w:p w14:paraId="6D9A3088" w14:textId="77777777" w:rsidR="00BB6BD6" w:rsidRPr="00D51EF4" w:rsidRDefault="00BB6BD6" w:rsidP="00BB6BD6">
            <w:pPr>
              <w:rPr>
                <w:rFonts w:ascii="Calibri" w:hAnsi="Calibri" w:cs="Calibri"/>
                <w:color w:val="000000"/>
                <w:sz w:val="22"/>
                <w:szCs w:val="22"/>
                <w:lang w:val="en-GB"/>
              </w:rPr>
            </w:pPr>
            <w:r w:rsidRPr="00D51EF4">
              <w:rPr>
                <w:rFonts w:ascii="Calibri" w:hAnsi="Calibri" w:cs="Calibri"/>
                <w:color w:val="000000"/>
                <w:sz w:val="22"/>
                <w:szCs w:val="22"/>
                <w:lang w:val="en-GB"/>
              </w:rPr>
              <w:t>Rating relevance (n</w:t>
            </w:r>
            <w:r w:rsidRPr="00D51EF4">
              <w:rPr>
                <w:rFonts w:ascii="Calibri" w:hAnsi="Calibri" w:cs="Calibri"/>
                <w:color w:val="000000"/>
                <w:sz w:val="22"/>
                <w:szCs w:val="22"/>
                <w:vertAlign w:val="subscript"/>
                <w:lang w:val="en-GB"/>
              </w:rPr>
              <w:t>NGO</w:t>
            </w:r>
            <w:r w:rsidRPr="00D51EF4">
              <w:rPr>
                <w:rFonts w:ascii="Calibri" w:hAnsi="Calibri" w:cs="Calibri"/>
                <w:color w:val="000000"/>
                <w:sz w:val="22"/>
                <w:szCs w:val="22"/>
                <w:lang w:val="en-GB"/>
              </w:rPr>
              <w:t xml:space="preserve"> = 201, n</w:t>
            </w:r>
            <w:r w:rsidRPr="00D51EF4">
              <w:rPr>
                <w:rFonts w:ascii="Calibri" w:hAnsi="Calibri" w:cs="Calibri"/>
                <w:color w:val="000000"/>
                <w:sz w:val="22"/>
                <w:szCs w:val="22"/>
                <w:vertAlign w:val="subscript"/>
                <w:lang w:val="en-GB"/>
              </w:rPr>
              <w:t>COOP/CU</w:t>
            </w:r>
            <w:r w:rsidRPr="00D51EF4">
              <w:rPr>
                <w:rFonts w:ascii="Calibri" w:hAnsi="Calibri" w:cs="Calibri"/>
                <w:color w:val="000000"/>
                <w:sz w:val="22"/>
                <w:szCs w:val="22"/>
                <w:lang w:val="en-GB"/>
              </w:rPr>
              <w:t xml:space="preserve"> = 45)</w:t>
            </w:r>
          </w:p>
        </w:tc>
        <w:tc>
          <w:tcPr>
            <w:tcW w:w="851" w:type="dxa"/>
            <w:tcBorders>
              <w:top w:val="nil"/>
              <w:left w:val="nil"/>
              <w:bottom w:val="nil"/>
              <w:right w:val="nil"/>
            </w:tcBorders>
            <w:shd w:val="clear" w:color="auto" w:fill="auto"/>
            <w:noWrap/>
            <w:vAlign w:val="bottom"/>
            <w:hideMark/>
          </w:tcPr>
          <w:p w14:paraId="4F44CE76" w14:textId="77777777" w:rsidR="00BB6BD6" w:rsidRPr="00D51EF4" w:rsidRDefault="00BB6BD6" w:rsidP="00BB6BD6">
            <w:pPr>
              <w:jc w:val="right"/>
              <w:rPr>
                <w:rFonts w:ascii="Calibri" w:hAnsi="Calibri" w:cs="Calibri"/>
                <w:color w:val="000000"/>
                <w:sz w:val="22"/>
                <w:szCs w:val="22"/>
                <w:lang w:val="en-GB"/>
              </w:rPr>
            </w:pPr>
            <w:r w:rsidRPr="00D51EF4">
              <w:rPr>
                <w:rFonts w:ascii="Calibri" w:hAnsi="Calibri" w:cs="Calibri"/>
                <w:color w:val="000000"/>
                <w:sz w:val="22"/>
                <w:szCs w:val="22"/>
                <w:lang w:val="en-GB"/>
              </w:rPr>
              <w:t>8.54</w:t>
            </w:r>
          </w:p>
        </w:tc>
        <w:tc>
          <w:tcPr>
            <w:tcW w:w="1302" w:type="dxa"/>
            <w:tcBorders>
              <w:top w:val="nil"/>
              <w:left w:val="nil"/>
              <w:bottom w:val="nil"/>
              <w:right w:val="nil"/>
            </w:tcBorders>
            <w:shd w:val="clear" w:color="auto" w:fill="auto"/>
            <w:noWrap/>
            <w:vAlign w:val="bottom"/>
            <w:hideMark/>
          </w:tcPr>
          <w:p w14:paraId="1DB164DA" w14:textId="77777777" w:rsidR="00BB6BD6" w:rsidRPr="00D51EF4" w:rsidRDefault="00BB6BD6" w:rsidP="00BB6BD6">
            <w:pPr>
              <w:jc w:val="right"/>
              <w:rPr>
                <w:rFonts w:ascii="Calibri" w:hAnsi="Calibri" w:cs="Calibri"/>
                <w:color w:val="000000"/>
                <w:sz w:val="22"/>
                <w:szCs w:val="22"/>
                <w:lang w:val="en-GB"/>
              </w:rPr>
            </w:pPr>
            <w:r w:rsidRPr="00D51EF4">
              <w:rPr>
                <w:rFonts w:ascii="Calibri" w:hAnsi="Calibri" w:cs="Calibri"/>
                <w:color w:val="000000"/>
                <w:sz w:val="22"/>
                <w:szCs w:val="22"/>
                <w:lang w:val="en-GB"/>
              </w:rPr>
              <w:t>13.10</w:t>
            </w:r>
          </w:p>
        </w:tc>
        <w:tc>
          <w:tcPr>
            <w:tcW w:w="1444" w:type="dxa"/>
            <w:gridSpan w:val="2"/>
            <w:tcBorders>
              <w:top w:val="nil"/>
              <w:left w:val="nil"/>
              <w:bottom w:val="nil"/>
              <w:right w:val="nil"/>
            </w:tcBorders>
            <w:shd w:val="clear" w:color="auto" w:fill="auto"/>
            <w:noWrap/>
            <w:vAlign w:val="bottom"/>
            <w:hideMark/>
          </w:tcPr>
          <w:p w14:paraId="3976CCD2" w14:textId="77777777" w:rsidR="00BB6BD6" w:rsidRPr="00D51EF4" w:rsidRDefault="00BB6BD6" w:rsidP="00BB6BD6">
            <w:pPr>
              <w:jc w:val="right"/>
              <w:rPr>
                <w:rFonts w:ascii="Calibri" w:hAnsi="Calibri" w:cs="Calibri"/>
                <w:color w:val="000000"/>
                <w:sz w:val="22"/>
                <w:szCs w:val="22"/>
                <w:lang w:val="en-GB"/>
              </w:rPr>
            </w:pPr>
            <w:r w:rsidRPr="00D51EF4">
              <w:rPr>
                <w:rFonts w:ascii="Calibri" w:hAnsi="Calibri" w:cs="Calibri"/>
                <w:color w:val="000000"/>
                <w:sz w:val="22"/>
                <w:szCs w:val="22"/>
                <w:lang w:val="en-GB"/>
              </w:rPr>
              <w:t>0.41</w:t>
            </w:r>
          </w:p>
        </w:tc>
      </w:tr>
    </w:tbl>
    <w:p w14:paraId="16422DC4" w14:textId="77777777" w:rsidR="00BB6BD6" w:rsidRPr="00D51EF4" w:rsidRDefault="00BB6BD6" w:rsidP="00A845F0">
      <w:pPr>
        <w:jc w:val="both"/>
        <w:rPr>
          <w:sz w:val="20"/>
          <w:szCs w:val="20"/>
          <w:lang w:val="en-GB"/>
        </w:rPr>
      </w:pPr>
    </w:p>
    <w:p w14:paraId="03E26FBB" w14:textId="77777777" w:rsidR="00BB6BD6" w:rsidRPr="00D51EF4" w:rsidRDefault="00BB6BD6" w:rsidP="00A845F0">
      <w:pPr>
        <w:jc w:val="both"/>
        <w:rPr>
          <w:sz w:val="20"/>
          <w:szCs w:val="20"/>
          <w:lang w:val="en-GB"/>
        </w:rPr>
      </w:pPr>
    </w:p>
    <w:p w14:paraId="20E4FCE7" w14:textId="3866254F" w:rsidR="005820BA" w:rsidRPr="00D51EF4" w:rsidRDefault="005820BA" w:rsidP="00A845F0">
      <w:pPr>
        <w:jc w:val="both"/>
        <w:rPr>
          <w:sz w:val="20"/>
          <w:szCs w:val="20"/>
          <w:lang w:val="en-GB"/>
        </w:rPr>
      </w:pPr>
      <w:r w:rsidRPr="00D51EF4">
        <w:rPr>
          <w:sz w:val="20"/>
          <w:szCs w:val="20"/>
          <w:lang w:val="en-GB"/>
        </w:rPr>
        <w:t xml:space="preserve">Table </w:t>
      </w:r>
      <w:r w:rsidR="00A1711B" w:rsidRPr="00D51EF4">
        <w:rPr>
          <w:sz w:val="20"/>
          <w:szCs w:val="20"/>
          <w:lang w:val="en-GB"/>
        </w:rPr>
        <w:t>7</w:t>
      </w:r>
      <w:r w:rsidR="007E28B9">
        <w:rPr>
          <w:sz w:val="20"/>
          <w:szCs w:val="20"/>
          <w:lang w:val="en-GB"/>
        </w:rPr>
        <w:t xml:space="preserve"> splits the </w:t>
      </w:r>
      <w:proofErr w:type="spellStart"/>
      <w:r w:rsidR="007E28B9">
        <w:rPr>
          <w:sz w:val="20"/>
          <w:szCs w:val="20"/>
          <w:lang w:val="en-GB"/>
        </w:rPr>
        <w:t>non</w:t>
      </w:r>
      <w:r w:rsidRPr="00D51EF4">
        <w:rPr>
          <w:sz w:val="20"/>
          <w:szCs w:val="20"/>
          <w:lang w:val="en-GB"/>
        </w:rPr>
        <w:t>profit</w:t>
      </w:r>
      <w:proofErr w:type="spellEnd"/>
      <w:r w:rsidRPr="00D51EF4">
        <w:rPr>
          <w:sz w:val="20"/>
          <w:szCs w:val="20"/>
          <w:lang w:val="en-GB"/>
        </w:rPr>
        <w:t xml:space="preserve"> sample </w:t>
      </w:r>
      <w:r w:rsidR="00FF40E9" w:rsidRPr="00D51EF4">
        <w:rPr>
          <w:sz w:val="20"/>
          <w:szCs w:val="20"/>
          <w:lang w:val="en-GB"/>
        </w:rPr>
        <w:t>into</w:t>
      </w:r>
      <w:r w:rsidRPr="00D51EF4">
        <w:rPr>
          <w:sz w:val="20"/>
          <w:szCs w:val="20"/>
          <w:lang w:val="en-GB"/>
        </w:rPr>
        <w:t xml:space="preserve"> two sub-samples</w:t>
      </w:r>
      <w:r w:rsidR="00E33AF9" w:rsidRPr="00D51EF4">
        <w:rPr>
          <w:sz w:val="20"/>
          <w:szCs w:val="20"/>
          <w:lang w:val="en-GB"/>
        </w:rPr>
        <w:t xml:space="preserve"> that</w:t>
      </w:r>
      <w:r w:rsidRPr="00D51EF4">
        <w:rPr>
          <w:sz w:val="20"/>
          <w:szCs w:val="20"/>
          <w:lang w:val="en-GB"/>
        </w:rPr>
        <w:t xml:space="preserve"> </w:t>
      </w:r>
      <w:r w:rsidR="0041143A" w:rsidRPr="00D51EF4">
        <w:rPr>
          <w:sz w:val="20"/>
          <w:szCs w:val="20"/>
          <w:lang w:val="en-GB"/>
        </w:rPr>
        <w:t>consist o</w:t>
      </w:r>
      <w:r w:rsidR="00D06070" w:rsidRPr="00D51EF4">
        <w:rPr>
          <w:sz w:val="20"/>
          <w:szCs w:val="20"/>
          <w:lang w:val="en-GB"/>
        </w:rPr>
        <w:t>f</w:t>
      </w:r>
      <w:r w:rsidR="0041143A" w:rsidRPr="00D51EF4">
        <w:rPr>
          <w:sz w:val="20"/>
          <w:szCs w:val="20"/>
          <w:lang w:val="en-GB"/>
        </w:rPr>
        <w:t xml:space="preserve"> </w:t>
      </w:r>
      <w:proofErr w:type="gramStart"/>
      <w:r w:rsidR="0041143A" w:rsidRPr="00D51EF4">
        <w:rPr>
          <w:sz w:val="20"/>
          <w:szCs w:val="20"/>
          <w:lang w:val="en-GB"/>
        </w:rPr>
        <w:t>NGOs</w:t>
      </w:r>
      <w:r w:rsidRPr="00D51EF4">
        <w:rPr>
          <w:sz w:val="20"/>
          <w:szCs w:val="20"/>
          <w:lang w:val="en-GB"/>
        </w:rPr>
        <w:t xml:space="preserve"> and cooperatives</w:t>
      </w:r>
      <w:proofErr w:type="gramEnd"/>
      <w:r w:rsidRPr="00D51EF4">
        <w:rPr>
          <w:sz w:val="20"/>
          <w:szCs w:val="20"/>
          <w:lang w:val="en-GB"/>
        </w:rPr>
        <w:t xml:space="preserve"> and credit unions and summarises their earnings quality metrics. All metrics are computed as in Tables </w:t>
      </w:r>
      <w:r w:rsidR="005B0448" w:rsidRPr="00D51EF4">
        <w:rPr>
          <w:sz w:val="20"/>
          <w:szCs w:val="20"/>
          <w:lang w:val="en-GB"/>
        </w:rPr>
        <w:t xml:space="preserve">3 to </w:t>
      </w:r>
      <w:proofErr w:type="gramStart"/>
      <w:r w:rsidR="005B0448" w:rsidRPr="00D51EF4">
        <w:rPr>
          <w:sz w:val="20"/>
          <w:szCs w:val="20"/>
          <w:lang w:val="en-GB"/>
        </w:rPr>
        <w:t>6</w:t>
      </w:r>
      <w:proofErr w:type="gramEnd"/>
      <w:r w:rsidRPr="00D51EF4">
        <w:rPr>
          <w:sz w:val="20"/>
          <w:szCs w:val="20"/>
          <w:lang w:val="en-GB"/>
        </w:rPr>
        <w:t xml:space="preserve">. </w:t>
      </w:r>
    </w:p>
    <w:p w14:paraId="0BC6E497" w14:textId="0F5B8491" w:rsidR="00ED6DBE" w:rsidRPr="00D51EF4" w:rsidRDefault="00ED6DBE">
      <w:pPr>
        <w:spacing w:after="200" w:line="276" w:lineRule="auto"/>
        <w:rPr>
          <w:sz w:val="20"/>
          <w:szCs w:val="20"/>
          <w:lang w:val="en-GB"/>
        </w:rPr>
      </w:pPr>
    </w:p>
    <w:sectPr w:rsidR="00ED6DBE" w:rsidRPr="00D51EF4" w:rsidSect="00A845F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57517" w14:textId="77777777" w:rsidR="00E243CC" w:rsidRDefault="00E243CC" w:rsidP="0093659A">
      <w:r>
        <w:separator/>
      </w:r>
    </w:p>
  </w:endnote>
  <w:endnote w:type="continuationSeparator" w:id="0">
    <w:p w14:paraId="4BE5D320" w14:textId="77777777" w:rsidR="00E243CC" w:rsidRDefault="00E243CC" w:rsidP="00936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07140"/>
      <w:docPartObj>
        <w:docPartGallery w:val="Page Numbers (Bottom of Page)"/>
        <w:docPartUnique/>
      </w:docPartObj>
    </w:sdtPr>
    <w:sdtEndPr>
      <w:rPr>
        <w:noProof/>
      </w:rPr>
    </w:sdtEndPr>
    <w:sdtContent>
      <w:p w14:paraId="42A0A77C" w14:textId="77777777" w:rsidR="00E243CC" w:rsidRDefault="00E243CC">
        <w:pPr>
          <w:pStyle w:val="Bunntekst"/>
          <w:jc w:val="right"/>
        </w:pPr>
        <w:r>
          <w:fldChar w:fldCharType="begin"/>
        </w:r>
        <w:r>
          <w:instrText xml:space="preserve"> PAGE   \* MERGEFORMAT </w:instrText>
        </w:r>
        <w:r>
          <w:fldChar w:fldCharType="separate"/>
        </w:r>
        <w:r w:rsidR="004E1E17">
          <w:rPr>
            <w:noProof/>
          </w:rPr>
          <w:t>33</w:t>
        </w:r>
        <w:r>
          <w:rPr>
            <w:noProof/>
          </w:rPr>
          <w:fldChar w:fldCharType="end"/>
        </w:r>
      </w:p>
    </w:sdtContent>
  </w:sdt>
  <w:p w14:paraId="28462221" w14:textId="77777777" w:rsidR="00E243CC" w:rsidRDefault="00E243C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E2FC0" w14:textId="77777777" w:rsidR="00E243CC" w:rsidRDefault="00E243CC" w:rsidP="0093659A">
      <w:r>
        <w:separator/>
      </w:r>
    </w:p>
  </w:footnote>
  <w:footnote w:type="continuationSeparator" w:id="0">
    <w:p w14:paraId="46836A8E" w14:textId="77777777" w:rsidR="00E243CC" w:rsidRDefault="00E243CC" w:rsidP="0093659A">
      <w:r>
        <w:continuationSeparator/>
      </w:r>
    </w:p>
  </w:footnote>
  <w:footnote w:id="1">
    <w:p w14:paraId="48A88B56" w14:textId="3E837CE3" w:rsidR="00E243CC" w:rsidRPr="00A845F0" w:rsidRDefault="00E243CC" w:rsidP="00A845F0">
      <w:pPr>
        <w:pStyle w:val="Fotnotetekst"/>
        <w:jc w:val="both"/>
        <w:rPr>
          <w:lang w:val="en-US"/>
        </w:rPr>
      </w:pPr>
      <w:r>
        <w:rPr>
          <w:rStyle w:val="Fotnotereferanse"/>
        </w:rPr>
        <w:footnoteRef/>
      </w:r>
      <w:r w:rsidRPr="00A845F0">
        <w:rPr>
          <w:lang w:val="en-US"/>
        </w:rPr>
        <w:t xml:space="preserve"> </w:t>
      </w:r>
      <w:r>
        <w:rPr>
          <w:lang w:val="en-GB"/>
        </w:rPr>
        <w:t>I</w:t>
      </w:r>
      <w:r w:rsidRPr="005A4A7A">
        <w:rPr>
          <w:lang w:val="en-GB"/>
        </w:rPr>
        <w:t xml:space="preserve">t </w:t>
      </w:r>
      <w:proofErr w:type="gramStart"/>
      <w:r w:rsidRPr="005A4A7A">
        <w:rPr>
          <w:lang w:val="en-GB"/>
        </w:rPr>
        <w:t>is sometimes claimed</w:t>
      </w:r>
      <w:proofErr w:type="gramEnd"/>
      <w:r w:rsidRPr="005A4A7A">
        <w:rPr>
          <w:lang w:val="en-GB"/>
        </w:rPr>
        <w:t xml:space="preserve"> that bottom-line accounting earnings may be invalid financial performance measures for MFIs because subsidies and grants may constitute a portion of their income</w:t>
      </w:r>
      <w:r>
        <w:rPr>
          <w:lang w:val="en-GB"/>
        </w:rPr>
        <w:t xml:space="preserve"> (Manos and Yaron 2009)</w:t>
      </w:r>
      <w:r w:rsidRPr="005A4A7A">
        <w:rPr>
          <w:lang w:val="en-GB"/>
        </w:rPr>
        <w:t xml:space="preserve">. Moreover, the financial information issued by MFIs has been criticised </w:t>
      </w:r>
      <w:r>
        <w:rPr>
          <w:lang w:val="en-GB"/>
        </w:rPr>
        <w:t>as</w:t>
      </w:r>
      <w:r w:rsidRPr="005A4A7A">
        <w:rPr>
          <w:lang w:val="en-GB"/>
        </w:rPr>
        <w:t xml:space="preserve"> scarce and inadequately standardised (Gutierrez-Nieto and Serrano-</w:t>
      </w:r>
      <w:proofErr w:type="spellStart"/>
      <w:r w:rsidRPr="005A4A7A">
        <w:rPr>
          <w:lang w:val="en-GB"/>
        </w:rPr>
        <w:t>Cinca</w:t>
      </w:r>
      <w:proofErr w:type="spellEnd"/>
      <w:r w:rsidRPr="005A4A7A">
        <w:rPr>
          <w:lang w:val="en-GB"/>
        </w:rPr>
        <w:t xml:space="preserve"> 2007). In response to these claims, the microfinance rating agencies estimate adjusted earnings measures as alternative performance measures for MFIs. In addition to adjusting for subsidies, th</w:t>
      </w:r>
      <w:r>
        <w:rPr>
          <w:lang w:val="en-GB"/>
        </w:rPr>
        <w:t>ese</w:t>
      </w:r>
      <w:r w:rsidRPr="005A4A7A">
        <w:rPr>
          <w:lang w:val="en-GB"/>
        </w:rPr>
        <w:t xml:space="preserve"> earnings number</w:t>
      </w:r>
      <w:r>
        <w:rPr>
          <w:lang w:val="en-GB"/>
        </w:rPr>
        <w:t>s</w:t>
      </w:r>
      <w:r w:rsidRPr="005A4A7A">
        <w:rPr>
          <w:lang w:val="en-GB"/>
        </w:rPr>
        <w:t xml:space="preserve"> may include adjustments for inflation, loan provisions and write-offs </w:t>
      </w:r>
      <w:r w:rsidRPr="005A4A7A">
        <w:rPr>
          <w:lang w:val="en-GB"/>
        </w:rPr>
        <w:fldChar w:fldCharType="begin"/>
      </w:r>
      <w:r w:rsidRPr="005A4A7A">
        <w:rPr>
          <w:lang w:val="en-GB"/>
        </w:rPr>
        <w:instrText xml:space="preserve"> ADDIN EN.CITE &lt;EndNote&gt;&lt;Cite&gt;&lt;Author&gt;Manos&lt;/Author&gt;&lt;Year&gt;2009&lt;/Year&gt;&lt;RecNum&gt;451&lt;/RecNum&gt;&lt;DisplayText&gt;(Manos and Yaron 2009)&lt;/DisplayText&gt;&lt;record&gt;&lt;rec-number&gt;451&lt;/rec-number&gt;&lt;foreign-keys&gt;&lt;key app="EN" db-id="f2drrsve4s2fpaereeqvx9vesp5rvf9p0v0z"&gt;451&lt;/key&gt;&lt;/foreign-keys&gt;&lt;ref-type name="Journal Article"&gt;17&lt;/ref-type&gt;&lt;contributors&gt;&lt;authors&gt;&lt;author&gt;Manos, Ronny&lt;/author&gt;&lt;author&gt;Yaron, Jacob&lt;/author&gt;&lt;/authors&gt;&lt;/contributors&gt;&lt;titles&gt;&lt;title&gt;Key Issues in Assessing the Performance of Microfinance Institutions&lt;/title&gt;&lt;secondary-title&gt;Candian Journal of Development Studies&lt;/secondary-title&gt;&lt;/titles&gt;&lt;periodical&gt;&lt;full-title&gt;Candian Journal of Development Studies&lt;/full-title&gt;&lt;/periodical&gt;&lt;volume&gt;29&lt;/volume&gt;&lt;number&gt;1-2&lt;/number&gt;&lt;dates&gt;&lt;year&gt;2009&lt;/year&gt;&lt;/dates&gt;&lt;urls&gt;&lt;/urls&gt;&lt;/record&gt;&lt;/Cite&gt;&lt;/EndNote&gt;</w:instrText>
      </w:r>
      <w:r w:rsidRPr="005A4A7A">
        <w:rPr>
          <w:lang w:val="en-GB"/>
        </w:rPr>
        <w:fldChar w:fldCharType="separate"/>
      </w:r>
      <w:r w:rsidRPr="005A4A7A">
        <w:rPr>
          <w:lang w:val="en-GB"/>
        </w:rPr>
        <w:t>(</w:t>
      </w:r>
      <w:hyperlink w:anchor="_ENREF_27" w:tooltip="Manos, 2009 #451" w:history="1">
        <w:r w:rsidRPr="005A4A7A">
          <w:rPr>
            <w:lang w:val="en-GB"/>
          </w:rPr>
          <w:t>Manos and Yaron 2009</w:t>
        </w:r>
      </w:hyperlink>
      <w:r w:rsidRPr="005A4A7A">
        <w:rPr>
          <w:lang w:val="en-GB"/>
        </w:rPr>
        <w:t>)</w:t>
      </w:r>
      <w:r w:rsidRPr="005A4A7A">
        <w:rPr>
          <w:lang w:val="en-GB"/>
        </w:rPr>
        <w:fldChar w:fldCharType="end"/>
      </w:r>
      <w:r w:rsidRPr="005A4A7A">
        <w:rPr>
          <w:lang w:val="en-GB"/>
        </w:rPr>
        <w:t xml:space="preserve">. </w:t>
      </w:r>
      <w:r>
        <w:rPr>
          <w:lang w:val="en-US"/>
        </w:rPr>
        <w:t xml:space="preserve">We have repeated all our primary tests using adjusted rather than reported earnings. However, this alternative approach does not change the primary conclusion. Whereas the smoothness of our two samples is significantly different when adjusted earnings are used, there is no longer a significant difference for predictability. All other tests yield insignificant results. Note that the number of observations is substantially smaller when adjusted earnings replace reported earnings in the analyses.  </w:t>
      </w:r>
    </w:p>
  </w:footnote>
  <w:footnote w:id="2">
    <w:p w14:paraId="04F6509E" w14:textId="77777777" w:rsidR="00E243CC" w:rsidRPr="00E460A8" w:rsidRDefault="00E243CC">
      <w:pPr>
        <w:pStyle w:val="Fotnotetekst"/>
        <w:rPr>
          <w:lang w:val="en-US"/>
        </w:rPr>
      </w:pPr>
      <w:r>
        <w:rPr>
          <w:rStyle w:val="Fotnotereferanse"/>
        </w:rPr>
        <w:footnoteRef/>
      </w:r>
      <w:r w:rsidRPr="00E460A8">
        <w:rPr>
          <w:lang w:val="en-US"/>
        </w:rPr>
        <w:t xml:space="preserve"> Calculated as the global productivity su</w:t>
      </w:r>
      <w:r>
        <w:rPr>
          <w:lang w:val="en-US"/>
        </w:rPr>
        <w:t>rplus (GPS).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42F4A"/>
    <w:multiLevelType w:val="hybridMultilevel"/>
    <w:tmpl w:val="E03A93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3F80C46"/>
    <w:multiLevelType w:val="hybridMultilevel"/>
    <w:tmpl w:val="1DB4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stylePaneFormatFilter w:val="1022" w:allStyles="0" w:customStyles="1"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B4"/>
    <w:rsid w:val="000041C8"/>
    <w:rsid w:val="00007BC4"/>
    <w:rsid w:val="000146B2"/>
    <w:rsid w:val="00020012"/>
    <w:rsid w:val="000212AB"/>
    <w:rsid w:val="00022062"/>
    <w:rsid w:val="00031932"/>
    <w:rsid w:val="00033319"/>
    <w:rsid w:val="0003458D"/>
    <w:rsid w:val="00035B72"/>
    <w:rsid w:val="00036430"/>
    <w:rsid w:val="00036BB5"/>
    <w:rsid w:val="0003722D"/>
    <w:rsid w:val="000442F0"/>
    <w:rsid w:val="00044877"/>
    <w:rsid w:val="000452B7"/>
    <w:rsid w:val="00046585"/>
    <w:rsid w:val="00053491"/>
    <w:rsid w:val="00054D56"/>
    <w:rsid w:val="000552F5"/>
    <w:rsid w:val="00063466"/>
    <w:rsid w:val="00070525"/>
    <w:rsid w:val="00070A11"/>
    <w:rsid w:val="00080082"/>
    <w:rsid w:val="00080F70"/>
    <w:rsid w:val="000913D2"/>
    <w:rsid w:val="00094386"/>
    <w:rsid w:val="00094471"/>
    <w:rsid w:val="00094D99"/>
    <w:rsid w:val="000952A4"/>
    <w:rsid w:val="000A04E3"/>
    <w:rsid w:val="000A30CF"/>
    <w:rsid w:val="000A6F37"/>
    <w:rsid w:val="000B0665"/>
    <w:rsid w:val="000C07B1"/>
    <w:rsid w:val="000C1740"/>
    <w:rsid w:val="000D382E"/>
    <w:rsid w:val="000D50DC"/>
    <w:rsid w:val="000D7397"/>
    <w:rsid w:val="000E1E32"/>
    <w:rsid w:val="000E5B4F"/>
    <w:rsid w:val="000E5CF0"/>
    <w:rsid w:val="000F0B14"/>
    <w:rsid w:val="000F16F7"/>
    <w:rsid w:val="000F3DA5"/>
    <w:rsid w:val="000F7962"/>
    <w:rsid w:val="00103E43"/>
    <w:rsid w:val="00106C09"/>
    <w:rsid w:val="00113909"/>
    <w:rsid w:val="00122C65"/>
    <w:rsid w:val="001268FB"/>
    <w:rsid w:val="00127E2B"/>
    <w:rsid w:val="00132207"/>
    <w:rsid w:val="00132514"/>
    <w:rsid w:val="0013334B"/>
    <w:rsid w:val="001363DD"/>
    <w:rsid w:val="00141945"/>
    <w:rsid w:val="00141CF0"/>
    <w:rsid w:val="001520B8"/>
    <w:rsid w:val="001556CC"/>
    <w:rsid w:val="00155CC8"/>
    <w:rsid w:val="001623A9"/>
    <w:rsid w:val="0017386A"/>
    <w:rsid w:val="00174A34"/>
    <w:rsid w:val="00175FCA"/>
    <w:rsid w:val="00177388"/>
    <w:rsid w:val="00177A1F"/>
    <w:rsid w:val="001A0E21"/>
    <w:rsid w:val="001A18ED"/>
    <w:rsid w:val="001A5D00"/>
    <w:rsid w:val="001B20C3"/>
    <w:rsid w:val="001C73EA"/>
    <w:rsid w:val="001D2794"/>
    <w:rsid w:val="001D4C1B"/>
    <w:rsid w:val="001E525A"/>
    <w:rsid w:val="001E6460"/>
    <w:rsid w:val="001F39A9"/>
    <w:rsid w:val="001F3CFE"/>
    <w:rsid w:val="002011DD"/>
    <w:rsid w:val="00201E25"/>
    <w:rsid w:val="00204973"/>
    <w:rsid w:val="00213181"/>
    <w:rsid w:val="00213F6D"/>
    <w:rsid w:val="0021763F"/>
    <w:rsid w:val="0022146D"/>
    <w:rsid w:val="00221D18"/>
    <w:rsid w:val="00222221"/>
    <w:rsid w:val="00223C87"/>
    <w:rsid w:val="002317C6"/>
    <w:rsid w:val="00232FEB"/>
    <w:rsid w:val="00236EF7"/>
    <w:rsid w:val="00244E4B"/>
    <w:rsid w:val="00260195"/>
    <w:rsid w:val="0026342E"/>
    <w:rsid w:val="00265931"/>
    <w:rsid w:val="00267923"/>
    <w:rsid w:val="00271F34"/>
    <w:rsid w:val="00272A17"/>
    <w:rsid w:val="0027336F"/>
    <w:rsid w:val="00274BF8"/>
    <w:rsid w:val="002777AE"/>
    <w:rsid w:val="00277FE8"/>
    <w:rsid w:val="00283A1D"/>
    <w:rsid w:val="002849A7"/>
    <w:rsid w:val="0029507F"/>
    <w:rsid w:val="002A0885"/>
    <w:rsid w:val="002A3907"/>
    <w:rsid w:val="002A3DB6"/>
    <w:rsid w:val="002A63F9"/>
    <w:rsid w:val="002B41E1"/>
    <w:rsid w:val="002B4629"/>
    <w:rsid w:val="002C10E7"/>
    <w:rsid w:val="002C6558"/>
    <w:rsid w:val="002D2550"/>
    <w:rsid w:val="002D6828"/>
    <w:rsid w:val="002E7D56"/>
    <w:rsid w:val="002F2281"/>
    <w:rsid w:val="002F2B3F"/>
    <w:rsid w:val="002F4320"/>
    <w:rsid w:val="002F677A"/>
    <w:rsid w:val="00305227"/>
    <w:rsid w:val="00306BA3"/>
    <w:rsid w:val="0030774D"/>
    <w:rsid w:val="00310956"/>
    <w:rsid w:val="003213D9"/>
    <w:rsid w:val="00322374"/>
    <w:rsid w:val="00323094"/>
    <w:rsid w:val="00331EEF"/>
    <w:rsid w:val="00332E8F"/>
    <w:rsid w:val="00334DE0"/>
    <w:rsid w:val="0033521D"/>
    <w:rsid w:val="00336067"/>
    <w:rsid w:val="00342FB8"/>
    <w:rsid w:val="003506AF"/>
    <w:rsid w:val="00351583"/>
    <w:rsid w:val="0035207C"/>
    <w:rsid w:val="003520CC"/>
    <w:rsid w:val="00352699"/>
    <w:rsid w:val="003559F6"/>
    <w:rsid w:val="00356141"/>
    <w:rsid w:val="00356908"/>
    <w:rsid w:val="00362DF7"/>
    <w:rsid w:val="0036437A"/>
    <w:rsid w:val="00367474"/>
    <w:rsid w:val="003736FF"/>
    <w:rsid w:val="00374AC5"/>
    <w:rsid w:val="00380E9C"/>
    <w:rsid w:val="00380F24"/>
    <w:rsid w:val="00382234"/>
    <w:rsid w:val="0038441F"/>
    <w:rsid w:val="00385EF9"/>
    <w:rsid w:val="00386C23"/>
    <w:rsid w:val="00391D86"/>
    <w:rsid w:val="00392DE7"/>
    <w:rsid w:val="00393519"/>
    <w:rsid w:val="003A1F42"/>
    <w:rsid w:val="003A21BB"/>
    <w:rsid w:val="003A5CBC"/>
    <w:rsid w:val="003A6DD2"/>
    <w:rsid w:val="003B214C"/>
    <w:rsid w:val="003B43BA"/>
    <w:rsid w:val="003C054E"/>
    <w:rsid w:val="003C1DB5"/>
    <w:rsid w:val="003C2AF4"/>
    <w:rsid w:val="003C2C71"/>
    <w:rsid w:val="003C596A"/>
    <w:rsid w:val="003C6868"/>
    <w:rsid w:val="003C6CF9"/>
    <w:rsid w:val="003D3DD3"/>
    <w:rsid w:val="003D7029"/>
    <w:rsid w:val="003D7695"/>
    <w:rsid w:val="003E2666"/>
    <w:rsid w:val="003E4E22"/>
    <w:rsid w:val="003E5AC6"/>
    <w:rsid w:val="00403B34"/>
    <w:rsid w:val="0041012F"/>
    <w:rsid w:val="0041143A"/>
    <w:rsid w:val="0041242A"/>
    <w:rsid w:val="00412CE7"/>
    <w:rsid w:val="00412DC3"/>
    <w:rsid w:val="00421E64"/>
    <w:rsid w:val="004232E4"/>
    <w:rsid w:val="004239ED"/>
    <w:rsid w:val="00424B36"/>
    <w:rsid w:val="00424F89"/>
    <w:rsid w:val="00426762"/>
    <w:rsid w:val="00427CF7"/>
    <w:rsid w:val="00431D90"/>
    <w:rsid w:val="00434F2E"/>
    <w:rsid w:val="0043648E"/>
    <w:rsid w:val="00437053"/>
    <w:rsid w:val="00441AB3"/>
    <w:rsid w:val="004510D4"/>
    <w:rsid w:val="00451C57"/>
    <w:rsid w:val="00461E80"/>
    <w:rsid w:val="00472841"/>
    <w:rsid w:val="00476F8B"/>
    <w:rsid w:val="00486411"/>
    <w:rsid w:val="00491741"/>
    <w:rsid w:val="004931F1"/>
    <w:rsid w:val="00497FF9"/>
    <w:rsid w:val="004A0842"/>
    <w:rsid w:val="004A1BF5"/>
    <w:rsid w:val="004B52BF"/>
    <w:rsid w:val="004C1374"/>
    <w:rsid w:val="004D499C"/>
    <w:rsid w:val="004E1E17"/>
    <w:rsid w:val="004E66B4"/>
    <w:rsid w:val="004F441D"/>
    <w:rsid w:val="004F58B3"/>
    <w:rsid w:val="004F7ED8"/>
    <w:rsid w:val="00502279"/>
    <w:rsid w:val="00502793"/>
    <w:rsid w:val="005050E6"/>
    <w:rsid w:val="005067A6"/>
    <w:rsid w:val="00507111"/>
    <w:rsid w:val="005108EA"/>
    <w:rsid w:val="00513773"/>
    <w:rsid w:val="00523A98"/>
    <w:rsid w:val="00526A7B"/>
    <w:rsid w:val="00530024"/>
    <w:rsid w:val="00530355"/>
    <w:rsid w:val="00530D05"/>
    <w:rsid w:val="005329F6"/>
    <w:rsid w:val="00534D3B"/>
    <w:rsid w:val="005360A7"/>
    <w:rsid w:val="005602FC"/>
    <w:rsid w:val="00575387"/>
    <w:rsid w:val="00575BCF"/>
    <w:rsid w:val="005820BA"/>
    <w:rsid w:val="005822C7"/>
    <w:rsid w:val="0058477E"/>
    <w:rsid w:val="00585BB8"/>
    <w:rsid w:val="0058711C"/>
    <w:rsid w:val="00591686"/>
    <w:rsid w:val="00592037"/>
    <w:rsid w:val="005920AA"/>
    <w:rsid w:val="005929CD"/>
    <w:rsid w:val="0059491A"/>
    <w:rsid w:val="005A3879"/>
    <w:rsid w:val="005A4A7A"/>
    <w:rsid w:val="005A67C9"/>
    <w:rsid w:val="005B0448"/>
    <w:rsid w:val="005B33D3"/>
    <w:rsid w:val="005D2045"/>
    <w:rsid w:val="005E4938"/>
    <w:rsid w:val="005E5F57"/>
    <w:rsid w:val="005F23BF"/>
    <w:rsid w:val="006025B6"/>
    <w:rsid w:val="006076CE"/>
    <w:rsid w:val="00607791"/>
    <w:rsid w:val="0061116D"/>
    <w:rsid w:val="0061405A"/>
    <w:rsid w:val="00621495"/>
    <w:rsid w:val="00621501"/>
    <w:rsid w:val="00624F92"/>
    <w:rsid w:val="00631A06"/>
    <w:rsid w:val="006334F8"/>
    <w:rsid w:val="006375AD"/>
    <w:rsid w:val="00640060"/>
    <w:rsid w:val="00640DE3"/>
    <w:rsid w:val="0064700B"/>
    <w:rsid w:val="00652DFB"/>
    <w:rsid w:val="006548D2"/>
    <w:rsid w:val="00657158"/>
    <w:rsid w:val="00664513"/>
    <w:rsid w:val="006715D0"/>
    <w:rsid w:val="00674AE1"/>
    <w:rsid w:val="00676815"/>
    <w:rsid w:val="00676BFC"/>
    <w:rsid w:val="00683C6F"/>
    <w:rsid w:val="00683D83"/>
    <w:rsid w:val="00685761"/>
    <w:rsid w:val="00687146"/>
    <w:rsid w:val="00687D75"/>
    <w:rsid w:val="0069134C"/>
    <w:rsid w:val="00693B2A"/>
    <w:rsid w:val="006941C1"/>
    <w:rsid w:val="00694D2A"/>
    <w:rsid w:val="00694F40"/>
    <w:rsid w:val="0069685F"/>
    <w:rsid w:val="006A4136"/>
    <w:rsid w:val="006A65A1"/>
    <w:rsid w:val="006C41F8"/>
    <w:rsid w:val="006D7C0C"/>
    <w:rsid w:val="006D7DF9"/>
    <w:rsid w:val="006E1EB0"/>
    <w:rsid w:val="006E462B"/>
    <w:rsid w:val="006E51D7"/>
    <w:rsid w:val="006E53D0"/>
    <w:rsid w:val="006F05F4"/>
    <w:rsid w:val="006F4D7D"/>
    <w:rsid w:val="006F4D7F"/>
    <w:rsid w:val="006F6214"/>
    <w:rsid w:val="00700552"/>
    <w:rsid w:val="00701703"/>
    <w:rsid w:val="00702D4E"/>
    <w:rsid w:val="00703A57"/>
    <w:rsid w:val="00710030"/>
    <w:rsid w:val="0071114B"/>
    <w:rsid w:val="00711A13"/>
    <w:rsid w:val="0071523B"/>
    <w:rsid w:val="00715C26"/>
    <w:rsid w:val="007170FB"/>
    <w:rsid w:val="007206AD"/>
    <w:rsid w:val="00725FED"/>
    <w:rsid w:val="0072760D"/>
    <w:rsid w:val="00731B79"/>
    <w:rsid w:val="00732F1E"/>
    <w:rsid w:val="0073320B"/>
    <w:rsid w:val="00746061"/>
    <w:rsid w:val="00762987"/>
    <w:rsid w:val="00762CA5"/>
    <w:rsid w:val="00763206"/>
    <w:rsid w:val="00765F50"/>
    <w:rsid w:val="00767EB3"/>
    <w:rsid w:val="007738BC"/>
    <w:rsid w:val="007762B4"/>
    <w:rsid w:val="00776D32"/>
    <w:rsid w:val="00776E4D"/>
    <w:rsid w:val="00777FF8"/>
    <w:rsid w:val="00792609"/>
    <w:rsid w:val="00793440"/>
    <w:rsid w:val="00796D0D"/>
    <w:rsid w:val="007A49D9"/>
    <w:rsid w:val="007B5227"/>
    <w:rsid w:val="007B6E71"/>
    <w:rsid w:val="007C2D75"/>
    <w:rsid w:val="007C5443"/>
    <w:rsid w:val="007C5B0C"/>
    <w:rsid w:val="007E19BE"/>
    <w:rsid w:val="007E1DFC"/>
    <w:rsid w:val="007E28B9"/>
    <w:rsid w:val="007E387A"/>
    <w:rsid w:val="007E4FAB"/>
    <w:rsid w:val="007E5CA4"/>
    <w:rsid w:val="007F2711"/>
    <w:rsid w:val="007F426C"/>
    <w:rsid w:val="007F695A"/>
    <w:rsid w:val="007F6C1C"/>
    <w:rsid w:val="007F7978"/>
    <w:rsid w:val="00801E94"/>
    <w:rsid w:val="00802894"/>
    <w:rsid w:val="00810EE6"/>
    <w:rsid w:val="0081707B"/>
    <w:rsid w:val="00820F31"/>
    <w:rsid w:val="00821733"/>
    <w:rsid w:val="00830C03"/>
    <w:rsid w:val="00832B08"/>
    <w:rsid w:val="00833620"/>
    <w:rsid w:val="0083538A"/>
    <w:rsid w:val="00836F8F"/>
    <w:rsid w:val="008442AA"/>
    <w:rsid w:val="00850971"/>
    <w:rsid w:val="00853FE9"/>
    <w:rsid w:val="008572F4"/>
    <w:rsid w:val="00857B5D"/>
    <w:rsid w:val="00863A9A"/>
    <w:rsid w:val="00866841"/>
    <w:rsid w:val="008722E9"/>
    <w:rsid w:val="008808A0"/>
    <w:rsid w:val="0089129E"/>
    <w:rsid w:val="00895455"/>
    <w:rsid w:val="008A1200"/>
    <w:rsid w:val="008A3257"/>
    <w:rsid w:val="008A5466"/>
    <w:rsid w:val="008A7265"/>
    <w:rsid w:val="008B0345"/>
    <w:rsid w:val="008B41C1"/>
    <w:rsid w:val="008B5FE4"/>
    <w:rsid w:val="008B66AA"/>
    <w:rsid w:val="008B7431"/>
    <w:rsid w:val="008C407B"/>
    <w:rsid w:val="008C444F"/>
    <w:rsid w:val="008D11EC"/>
    <w:rsid w:val="008D17E2"/>
    <w:rsid w:val="008E11CD"/>
    <w:rsid w:val="008E3BE4"/>
    <w:rsid w:val="008E45FE"/>
    <w:rsid w:val="008F79D5"/>
    <w:rsid w:val="009007C7"/>
    <w:rsid w:val="00901520"/>
    <w:rsid w:val="009037B6"/>
    <w:rsid w:val="009074EA"/>
    <w:rsid w:val="00915D62"/>
    <w:rsid w:val="00916846"/>
    <w:rsid w:val="00921015"/>
    <w:rsid w:val="00925801"/>
    <w:rsid w:val="00930C09"/>
    <w:rsid w:val="00931B78"/>
    <w:rsid w:val="0093659A"/>
    <w:rsid w:val="0094157E"/>
    <w:rsid w:val="00950C8A"/>
    <w:rsid w:val="00953415"/>
    <w:rsid w:val="00953EFF"/>
    <w:rsid w:val="00974637"/>
    <w:rsid w:val="00980134"/>
    <w:rsid w:val="00984537"/>
    <w:rsid w:val="009906CA"/>
    <w:rsid w:val="00990B94"/>
    <w:rsid w:val="00993E4E"/>
    <w:rsid w:val="00995076"/>
    <w:rsid w:val="009A5317"/>
    <w:rsid w:val="009B14B7"/>
    <w:rsid w:val="009B5A19"/>
    <w:rsid w:val="009C1689"/>
    <w:rsid w:val="009C1AD8"/>
    <w:rsid w:val="009C2B59"/>
    <w:rsid w:val="009C5B13"/>
    <w:rsid w:val="009D7F7E"/>
    <w:rsid w:val="009E4681"/>
    <w:rsid w:val="009F458B"/>
    <w:rsid w:val="00A0697D"/>
    <w:rsid w:val="00A0741E"/>
    <w:rsid w:val="00A11DC2"/>
    <w:rsid w:val="00A13B47"/>
    <w:rsid w:val="00A144F5"/>
    <w:rsid w:val="00A1711B"/>
    <w:rsid w:val="00A25E57"/>
    <w:rsid w:val="00A266D2"/>
    <w:rsid w:val="00A3205E"/>
    <w:rsid w:val="00A32262"/>
    <w:rsid w:val="00A35132"/>
    <w:rsid w:val="00A35343"/>
    <w:rsid w:val="00A36C13"/>
    <w:rsid w:val="00A408EA"/>
    <w:rsid w:val="00A4126D"/>
    <w:rsid w:val="00A444DD"/>
    <w:rsid w:val="00A53A66"/>
    <w:rsid w:val="00A55B17"/>
    <w:rsid w:val="00A56400"/>
    <w:rsid w:val="00A63B8D"/>
    <w:rsid w:val="00A66E4E"/>
    <w:rsid w:val="00A67A09"/>
    <w:rsid w:val="00A67D0A"/>
    <w:rsid w:val="00A75430"/>
    <w:rsid w:val="00A76A55"/>
    <w:rsid w:val="00A76E9F"/>
    <w:rsid w:val="00A83608"/>
    <w:rsid w:val="00A845F0"/>
    <w:rsid w:val="00A84A1A"/>
    <w:rsid w:val="00A90AD8"/>
    <w:rsid w:val="00A91322"/>
    <w:rsid w:val="00A91AE5"/>
    <w:rsid w:val="00A95CF0"/>
    <w:rsid w:val="00AA18B7"/>
    <w:rsid w:val="00AA3E8F"/>
    <w:rsid w:val="00AA4E5E"/>
    <w:rsid w:val="00AB040C"/>
    <w:rsid w:val="00AB53CD"/>
    <w:rsid w:val="00AB5638"/>
    <w:rsid w:val="00AC1134"/>
    <w:rsid w:val="00AC3A9F"/>
    <w:rsid w:val="00AC44C1"/>
    <w:rsid w:val="00AC4BC0"/>
    <w:rsid w:val="00AC6202"/>
    <w:rsid w:val="00AC696A"/>
    <w:rsid w:val="00AC7DA7"/>
    <w:rsid w:val="00AD3DF3"/>
    <w:rsid w:val="00AD600C"/>
    <w:rsid w:val="00AE3713"/>
    <w:rsid w:val="00AE563B"/>
    <w:rsid w:val="00AE6A2A"/>
    <w:rsid w:val="00AE7213"/>
    <w:rsid w:val="00AF210C"/>
    <w:rsid w:val="00B0123C"/>
    <w:rsid w:val="00B01A41"/>
    <w:rsid w:val="00B03D90"/>
    <w:rsid w:val="00B0501A"/>
    <w:rsid w:val="00B07424"/>
    <w:rsid w:val="00B11D28"/>
    <w:rsid w:val="00B16C85"/>
    <w:rsid w:val="00B266D8"/>
    <w:rsid w:val="00B306D9"/>
    <w:rsid w:val="00B34A9C"/>
    <w:rsid w:val="00B44A9C"/>
    <w:rsid w:val="00B45438"/>
    <w:rsid w:val="00B55F18"/>
    <w:rsid w:val="00B56393"/>
    <w:rsid w:val="00B5673D"/>
    <w:rsid w:val="00B570DC"/>
    <w:rsid w:val="00B719E8"/>
    <w:rsid w:val="00B741EA"/>
    <w:rsid w:val="00B75344"/>
    <w:rsid w:val="00B75F94"/>
    <w:rsid w:val="00B760F2"/>
    <w:rsid w:val="00B770D2"/>
    <w:rsid w:val="00B7729D"/>
    <w:rsid w:val="00B774DB"/>
    <w:rsid w:val="00B80C58"/>
    <w:rsid w:val="00B869E4"/>
    <w:rsid w:val="00B972A6"/>
    <w:rsid w:val="00BA1617"/>
    <w:rsid w:val="00BB5105"/>
    <w:rsid w:val="00BB648B"/>
    <w:rsid w:val="00BB6BD6"/>
    <w:rsid w:val="00BB7B43"/>
    <w:rsid w:val="00BC1883"/>
    <w:rsid w:val="00BC32B4"/>
    <w:rsid w:val="00BC71F3"/>
    <w:rsid w:val="00BD06F3"/>
    <w:rsid w:val="00BE1341"/>
    <w:rsid w:val="00BE1843"/>
    <w:rsid w:val="00BE491A"/>
    <w:rsid w:val="00BF13B5"/>
    <w:rsid w:val="00BF380C"/>
    <w:rsid w:val="00C00C7C"/>
    <w:rsid w:val="00C014C6"/>
    <w:rsid w:val="00C10400"/>
    <w:rsid w:val="00C1077F"/>
    <w:rsid w:val="00C12132"/>
    <w:rsid w:val="00C12FCB"/>
    <w:rsid w:val="00C1307C"/>
    <w:rsid w:val="00C162C3"/>
    <w:rsid w:val="00C168E6"/>
    <w:rsid w:val="00C17A66"/>
    <w:rsid w:val="00C23E65"/>
    <w:rsid w:val="00C27090"/>
    <w:rsid w:val="00C276CC"/>
    <w:rsid w:val="00C31EC8"/>
    <w:rsid w:val="00C42737"/>
    <w:rsid w:val="00C4276E"/>
    <w:rsid w:val="00C446FA"/>
    <w:rsid w:val="00C44CA9"/>
    <w:rsid w:val="00C55219"/>
    <w:rsid w:val="00C63456"/>
    <w:rsid w:val="00C66334"/>
    <w:rsid w:val="00C708B5"/>
    <w:rsid w:val="00C7367A"/>
    <w:rsid w:val="00C82C4D"/>
    <w:rsid w:val="00C8558F"/>
    <w:rsid w:val="00C90434"/>
    <w:rsid w:val="00C95773"/>
    <w:rsid w:val="00CA23E1"/>
    <w:rsid w:val="00CA2D87"/>
    <w:rsid w:val="00CA339E"/>
    <w:rsid w:val="00CA57D4"/>
    <w:rsid w:val="00CB0630"/>
    <w:rsid w:val="00CB1C8E"/>
    <w:rsid w:val="00CB3AF1"/>
    <w:rsid w:val="00CC2329"/>
    <w:rsid w:val="00CC2AD9"/>
    <w:rsid w:val="00CC3C29"/>
    <w:rsid w:val="00CD21D4"/>
    <w:rsid w:val="00CD3138"/>
    <w:rsid w:val="00CD72D4"/>
    <w:rsid w:val="00CE0EED"/>
    <w:rsid w:val="00CE6A0B"/>
    <w:rsid w:val="00CE6A15"/>
    <w:rsid w:val="00CF5A80"/>
    <w:rsid w:val="00D00C3D"/>
    <w:rsid w:val="00D027BF"/>
    <w:rsid w:val="00D06070"/>
    <w:rsid w:val="00D07525"/>
    <w:rsid w:val="00D146BE"/>
    <w:rsid w:val="00D147E6"/>
    <w:rsid w:val="00D169F2"/>
    <w:rsid w:val="00D21935"/>
    <w:rsid w:val="00D2519C"/>
    <w:rsid w:val="00D2642C"/>
    <w:rsid w:val="00D346C7"/>
    <w:rsid w:val="00D35C46"/>
    <w:rsid w:val="00D411BD"/>
    <w:rsid w:val="00D44CC7"/>
    <w:rsid w:val="00D45663"/>
    <w:rsid w:val="00D505E7"/>
    <w:rsid w:val="00D51EF4"/>
    <w:rsid w:val="00D579BE"/>
    <w:rsid w:val="00D605DE"/>
    <w:rsid w:val="00D61389"/>
    <w:rsid w:val="00D7293F"/>
    <w:rsid w:val="00D744AF"/>
    <w:rsid w:val="00D772B3"/>
    <w:rsid w:val="00D77620"/>
    <w:rsid w:val="00D81D12"/>
    <w:rsid w:val="00D84D9B"/>
    <w:rsid w:val="00D8781F"/>
    <w:rsid w:val="00D9251F"/>
    <w:rsid w:val="00D92726"/>
    <w:rsid w:val="00DA04B3"/>
    <w:rsid w:val="00DA737A"/>
    <w:rsid w:val="00DB71BC"/>
    <w:rsid w:val="00DC0C44"/>
    <w:rsid w:val="00DC5FB7"/>
    <w:rsid w:val="00DD1287"/>
    <w:rsid w:val="00DD1288"/>
    <w:rsid w:val="00DD5996"/>
    <w:rsid w:val="00DD6070"/>
    <w:rsid w:val="00DE66B9"/>
    <w:rsid w:val="00DE6C3D"/>
    <w:rsid w:val="00DF6AC0"/>
    <w:rsid w:val="00DF7367"/>
    <w:rsid w:val="00E06EF6"/>
    <w:rsid w:val="00E13BEB"/>
    <w:rsid w:val="00E146EA"/>
    <w:rsid w:val="00E21ED8"/>
    <w:rsid w:val="00E243CC"/>
    <w:rsid w:val="00E31B7E"/>
    <w:rsid w:val="00E33AF9"/>
    <w:rsid w:val="00E358B9"/>
    <w:rsid w:val="00E35A87"/>
    <w:rsid w:val="00E415AE"/>
    <w:rsid w:val="00E41B29"/>
    <w:rsid w:val="00E42D90"/>
    <w:rsid w:val="00E43BA0"/>
    <w:rsid w:val="00E43FBC"/>
    <w:rsid w:val="00E4527E"/>
    <w:rsid w:val="00E460A8"/>
    <w:rsid w:val="00E506A0"/>
    <w:rsid w:val="00E532DF"/>
    <w:rsid w:val="00E564DA"/>
    <w:rsid w:val="00E56F6D"/>
    <w:rsid w:val="00E574E7"/>
    <w:rsid w:val="00E60089"/>
    <w:rsid w:val="00E638FD"/>
    <w:rsid w:val="00E63D95"/>
    <w:rsid w:val="00E66C55"/>
    <w:rsid w:val="00E67679"/>
    <w:rsid w:val="00E70F02"/>
    <w:rsid w:val="00E718E2"/>
    <w:rsid w:val="00E7599E"/>
    <w:rsid w:val="00E81F6A"/>
    <w:rsid w:val="00E82ACC"/>
    <w:rsid w:val="00E85D52"/>
    <w:rsid w:val="00E87C6F"/>
    <w:rsid w:val="00E87F2F"/>
    <w:rsid w:val="00E93B8C"/>
    <w:rsid w:val="00EA1F04"/>
    <w:rsid w:val="00EA5890"/>
    <w:rsid w:val="00EA6043"/>
    <w:rsid w:val="00EB319C"/>
    <w:rsid w:val="00EB404D"/>
    <w:rsid w:val="00EB4A2C"/>
    <w:rsid w:val="00EB791F"/>
    <w:rsid w:val="00EC0108"/>
    <w:rsid w:val="00EC08E5"/>
    <w:rsid w:val="00EC504E"/>
    <w:rsid w:val="00EC7244"/>
    <w:rsid w:val="00ED0939"/>
    <w:rsid w:val="00ED179F"/>
    <w:rsid w:val="00ED547D"/>
    <w:rsid w:val="00ED5871"/>
    <w:rsid w:val="00ED5E11"/>
    <w:rsid w:val="00ED6642"/>
    <w:rsid w:val="00ED6DBE"/>
    <w:rsid w:val="00EE3BF9"/>
    <w:rsid w:val="00EE6802"/>
    <w:rsid w:val="00EF01BC"/>
    <w:rsid w:val="00EF4038"/>
    <w:rsid w:val="00EF4F70"/>
    <w:rsid w:val="00F028E8"/>
    <w:rsid w:val="00F0680F"/>
    <w:rsid w:val="00F06F58"/>
    <w:rsid w:val="00F102F6"/>
    <w:rsid w:val="00F13AB1"/>
    <w:rsid w:val="00F171D9"/>
    <w:rsid w:val="00F262B2"/>
    <w:rsid w:val="00F276D3"/>
    <w:rsid w:val="00F3648B"/>
    <w:rsid w:val="00F3672F"/>
    <w:rsid w:val="00F44204"/>
    <w:rsid w:val="00F47A0F"/>
    <w:rsid w:val="00F52E78"/>
    <w:rsid w:val="00F57769"/>
    <w:rsid w:val="00F607C4"/>
    <w:rsid w:val="00F65B35"/>
    <w:rsid w:val="00F757B3"/>
    <w:rsid w:val="00F778FC"/>
    <w:rsid w:val="00F80858"/>
    <w:rsid w:val="00F8317F"/>
    <w:rsid w:val="00F83330"/>
    <w:rsid w:val="00F86418"/>
    <w:rsid w:val="00F86D0C"/>
    <w:rsid w:val="00F901A2"/>
    <w:rsid w:val="00F91C19"/>
    <w:rsid w:val="00F91F21"/>
    <w:rsid w:val="00F91FAA"/>
    <w:rsid w:val="00F95B0C"/>
    <w:rsid w:val="00F9693D"/>
    <w:rsid w:val="00FA0D34"/>
    <w:rsid w:val="00FA0D65"/>
    <w:rsid w:val="00FA0F19"/>
    <w:rsid w:val="00FA5B74"/>
    <w:rsid w:val="00FA7573"/>
    <w:rsid w:val="00FB401D"/>
    <w:rsid w:val="00FB6515"/>
    <w:rsid w:val="00FD0EEF"/>
    <w:rsid w:val="00FE2600"/>
    <w:rsid w:val="00FE38C1"/>
    <w:rsid w:val="00FE3C92"/>
    <w:rsid w:val="00FE7718"/>
    <w:rsid w:val="00FF0EB5"/>
    <w:rsid w:val="00FF4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E9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2B4"/>
    <w:pPr>
      <w:spacing w:after="0" w:line="240" w:lineRule="auto"/>
    </w:pPr>
    <w:rPr>
      <w:rFonts w:ascii="Times New Roman" w:eastAsia="Times New Roman" w:hAnsi="Times New Roman" w:cs="Times New Roman"/>
      <w:sz w:val="24"/>
      <w:szCs w:val="24"/>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3659A"/>
    <w:pPr>
      <w:tabs>
        <w:tab w:val="center" w:pos="4703"/>
        <w:tab w:val="right" w:pos="9406"/>
      </w:tabs>
    </w:pPr>
  </w:style>
  <w:style w:type="character" w:customStyle="1" w:styleId="TopptekstTegn">
    <w:name w:val="Topptekst Tegn"/>
    <w:basedOn w:val="Standardskriftforavsnitt"/>
    <w:link w:val="Topptekst"/>
    <w:uiPriority w:val="99"/>
    <w:rsid w:val="0093659A"/>
    <w:rPr>
      <w:rFonts w:ascii="Times New Roman" w:eastAsia="Times New Roman" w:hAnsi="Times New Roman" w:cs="Times New Roman"/>
      <w:sz w:val="24"/>
      <w:szCs w:val="24"/>
      <w:lang w:val="nb-NO" w:eastAsia="nb-NO"/>
    </w:rPr>
  </w:style>
  <w:style w:type="paragraph" w:styleId="Bunntekst">
    <w:name w:val="footer"/>
    <w:basedOn w:val="Normal"/>
    <w:link w:val="BunntekstTegn"/>
    <w:uiPriority w:val="99"/>
    <w:unhideWhenUsed/>
    <w:rsid w:val="0093659A"/>
    <w:pPr>
      <w:tabs>
        <w:tab w:val="center" w:pos="4703"/>
        <w:tab w:val="right" w:pos="9406"/>
      </w:tabs>
    </w:pPr>
  </w:style>
  <w:style w:type="character" w:customStyle="1" w:styleId="BunntekstTegn">
    <w:name w:val="Bunntekst Tegn"/>
    <w:basedOn w:val="Standardskriftforavsnitt"/>
    <w:link w:val="Bunntekst"/>
    <w:uiPriority w:val="99"/>
    <w:rsid w:val="0093659A"/>
    <w:rPr>
      <w:rFonts w:ascii="Times New Roman" w:eastAsia="Times New Roman" w:hAnsi="Times New Roman" w:cs="Times New Roman"/>
      <w:sz w:val="24"/>
      <w:szCs w:val="24"/>
      <w:lang w:val="nb-NO" w:eastAsia="nb-NO"/>
    </w:rPr>
  </w:style>
  <w:style w:type="character" w:styleId="Hyperkobling">
    <w:name w:val="Hyperlink"/>
    <w:rsid w:val="00F86418"/>
    <w:rPr>
      <w:color w:val="0000FF"/>
      <w:u w:val="single"/>
    </w:rPr>
  </w:style>
  <w:style w:type="paragraph" w:styleId="Fotnotetekst">
    <w:name w:val="footnote text"/>
    <w:basedOn w:val="Normal"/>
    <w:link w:val="FotnotetekstTegn"/>
    <w:semiHidden/>
    <w:rsid w:val="00F86418"/>
    <w:rPr>
      <w:sz w:val="20"/>
      <w:szCs w:val="20"/>
    </w:rPr>
  </w:style>
  <w:style w:type="character" w:customStyle="1" w:styleId="FotnotetekstTegn">
    <w:name w:val="Fotnotetekst Tegn"/>
    <w:basedOn w:val="Standardskriftforavsnitt"/>
    <w:link w:val="Fotnotetekst"/>
    <w:semiHidden/>
    <w:rsid w:val="00F86418"/>
    <w:rPr>
      <w:rFonts w:ascii="Times New Roman" w:eastAsia="Times New Roman" w:hAnsi="Times New Roman" w:cs="Times New Roman"/>
      <w:sz w:val="20"/>
      <w:szCs w:val="20"/>
      <w:lang w:val="nb-NO" w:eastAsia="nb-NO"/>
    </w:rPr>
  </w:style>
  <w:style w:type="character" w:styleId="Fotnotereferanse">
    <w:name w:val="footnote reference"/>
    <w:semiHidden/>
    <w:rsid w:val="00F86418"/>
    <w:rPr>
      <w:vertAlign w:val="superscript"/>
    </w:rPr>
  </w:style>
  <w:style w:type="paragraph" w:styleId="Listeavsnitt">
    <w:name w:val="List Paragraph"/>
    <w:basedOn w:val="Normal"/>
    <w:uiPriority w:val="34"/>
    <w:qFormat/>
    <w:rsid w:val="00507111"/>
    <w:pPr>
      <w:ind w:left="720"/>
      <w:contextualSpacing/>
    </w:pPr>
  </w:style>
  <w:style w:type="paragraph" w:styleId="Bobletekst">
    <w:name w:val="Balloon Text"/>
    <w:basedOn w:val="Normal"/>
    <w:link w:val="BobletekstTegn"/>
    <w:uiPriority w:val="99"/>
    <w:semiHidden/>
    <w:unhideWhenUsed/>
    <w:rsid w:val="00AE6A2A"/>
    <w:rPr>
      <w:rFonts w:ascii="Tahoma" w:hAnsi="Tahoma" w:cs="Tahoma"/>
      <w:sz w:val="16"/>
      <w:szCs w:val="16"/>
      <w:lang w:val="en-US"/>
    </w:rPr>
  </w:style>
  <w:style w:type="character" w:customStyle="1" w:styleId="BobletekstTegn">
    <w:name w:val="Bobletekst Tegn"/>
    <w:basedOn w:val="Standardskriftforavsnitt"/>
    <w:link w:val="Bobletekst"/>
    <w:uiPriority w:val="99"/>
    <w:semiHidden/>
    <w:rsid w:val="00AE6A2A"/>
    <w:rPr>
      <w:rFonts w:ascii="Tahoma" w:eastAsia="Times New Roman" w:hAnsi="Tahoma" w:cs="Tahoma"/>
      <w:sz w:val="16"/>
      <w:szCs w:val="16"/>
      <w:lang w:eastAsia="nb-NO"/>
    </w:rPr>
  </w:style>
  <w:style w:type="character" w:styleId="Merknadsreferanse">
    <w:name w:val="annotation reference"/>
    <w:basedOn w:val="Standardskriftforavsnitt"/>
    <w:uiPriority w:val="99"/>
    <w:semiHidden/>
    <w:unhideWhenUsed/>
    <w:rsid w:val="00AE6A2A"/>
    <w:rPr>
      <w:sz w:val="16"/>
      <w:szCs w:val="16"/>
    </w:rPr>
  </w:style>
  <w:style w:type="paragraph" w:styleId="Merknadstekst">
    <w:name w:val="annotation text"/>
    <w:basedOn w:val="Normal"/>
    <w:link w:val="MerknadstekstTegn"/>
    <w:autoRedefine/>
    <w:uiPriority w:val="99"/>
    <w:semiHidden/>
    <w:unhideWhenUsed/>
    <w:rsid w:val="00AE6A2A"/>
    <w:rPr>
      <w:rFonts w:ascii="Calibri" w:hAnsi="Calibri" w:cs="Calibri"/>
      <w:sz w:val="20"/>
      <w:szCs w:val="20"/>
      <w:lang w:val="en-US"/>
    </w:rPr>
  </w:style>
  <w:style w:type="character" w:customStyle="1" w:styleId="MerknadstekstTegn">
    <w:name w:val="Merknadstekst Tegn"/>
    <w:basedOn w:val="Standardskriftforavsnitt"/>
    <w:link w:val="Merknadstekst"/>
    <w:uiPriority w:val="99"/>
    <w:semiHidden/>
    <w:rsid w:val="00AE6A2A"/>
    <w:rPr>
      <w:rFonts w:ascii="Calibri" w:eastAsia="Times New Roman" w:hAnsi="Calibri" w:cs="Calibri"/>
      <w:sz w:val="20"/>
      <w:szCs w:val="20"/>
      <w:lang w:eastAsia="nb-NO"/>
    </w:rPr>
  </w:style>
  <w:style w:type="paragraph" w:styleId="Kommentaremne">
    <w:name w:val="annotation subject"/>
    <w:basedOn w:val="Merknadstekst"/>
    <w:next w:val="Merknadstekst"/>
    <w:link w:val="KommentaremneTegn"/>
    <w:uiPriority w:val="99"/>
    <w:semiHidden/>
    <w:unhideWhenUsed/>
    <w:rsid w:val="00AE6A2A"/>
    <w:rPr>
      <w:b/>
      <w:bCs/>
    </w:rPr>
  </w:style>
  <w:style w:type="character" w:customStyle="1" w:styleId="KommentaremneTegn">
    <w:name w:val="Kommentaremne Tegn"/>
    <w:basedOn w:val="MerknadstekstTegn"/>
    <w:link w:val="Kommentaremne"/>
    <w:uiPriority w:val="99"/>
    <w:semiHidden/>
    <w:rsid w:val="00AE6A2A"/>
    <w:rPr>
      <w:rFonts w:ascii="Times New Roman" w:eastAsia="Times New Roman" w:hAnsi="Times New Roman" w:cs="Times New Roman"/>
      <w:b/>
      <w:bCs/>
      <w:sz w:val="20"/>
      <w:szCs w:val="20"/>
      <w:lang w:val="nb-NO" w:eastAsia="nb-NO"/>
    </w:rPr>
  </w:style>
  <w:style w:type="character" w:customStyle="1" w:styleId="cit-title4">
    <w:name w:val="cit-title4"/>
    <w:basedOn w:val="Standardskriftforavsnitt"/>
    <w:rsid w:val="00A0741E"/>
  </w:style>
  <w:style w:type="character" w:customStyle="1" w:styleId="cit-doi2">
    <w:name w:val="cit-doi2"/>
    <w:basedOn w:val="Standardskriftforavsnitt"/>
    <w:rsid w:val="00A0741E"/>
  </w:style>
  <w:style w:type="paragraph" w:styleId="Revisjon">
    <w:name w:val="Revision"/>
    <w:hidden/>
    <w:uiPriority w:val="99"/>
    <w:semiHidden/>
    <w:rsid w:val="006548D2"/>
    <w:pPr>
      <w:spacing w:after="0" w:line="240" w:lineRule="auto"/>
    </w:pPr>
    <w:rPr>
      <w:rFonts w:ascii="Times New Roman" w:eastAsia="Times New Roman" w:hAnsi="Times New Roman" w:cs="Times New Roman"/>
      <w:sz w:val="24"/>
      <w:szCs w:val="24"/>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2B4"/>
    <w:pPr>
      <w:spacing w:after="0" w:line="240" w:lineRule="auto"/>
    </w:pPr>
    <w:rPr>
      <w:rFonts w:ascii="Times New Roman" w:eastAsia="Times New Roman" w:hAnsi="Times New Roman" w:cs="Times New Roman"/>
      <w:sz w:val="24"/>
      <w:szCs w:val="24"/>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3659A"/>
    <w:pPr>
      <w:tabs>
        <w:tab w:val="center" w:pos="4703"/>
        <w:tab w:val="right" w:pos="9406"/>
      </w:tabs>
    </w:pPr>
  </w:style>
  <w:style w:type="character" w:customStyle="1" w:styleId="TopptekstTegn">
    <w:name w:val="Topptekst Tegn"/>
    <w:basedOn w:val="Standardskriftforavsnitt"/>
    <w:link w:val="Topptekst"/>
    <w:uiPriority w:val="99"/>
    <w:rsid w:val="0093659A"/>
    <w:rPr>
      <w:rFonts w:ascii="Times New Roman" w:eastAsia="Times New Roman" w:hAnsi="Times New Roman" w:cs="Times New Roman"/>
      <w:sz w:val="24"/>
      <w:szCs w:val="24"/>
      <w:lang w:val="nb-NO" w:eastAsia="nb-NO"/>
    </w:rPr>
  </w:style>
  <w:style w:type="paragraph" w:styleId="Bunntekst">
    <w:name w:val="footer"/>
    <w:basedOn w:val="Normal"/>
    <w:link w:val="BunntekstTegn"/>
    <w:uiPriority w:val="99"/>
    <w:unhideWhenUsed/>
    <w:rsid w:val="0093659A"/>
    <w:pPr>
      <w:tabs>
        <w:tab w:val="center" w:pos="4703"/>
        <w:tab w:val="right" w:pos="9406"/>
      </w:tabs>
    </w:pPr>
  </w:style>
  <w:style w:type="character" w:customStyle="1" w:styleId="BunntekstTegn">
    <w:name w:val="Bunntekst Tegn"/>
    <w:basedOn w:val="Standardskriftforavsnitt"/>
    <w:link w:val="Bunntekst"/>
    <w:uiPriority w:val="99"/>
    <w:rsid w:val="0093659A"/>
    <w:rPr>
      <w:rFonts w:ascii="Times New Roman" w:eastAsia="Times New Roman" w:hAnsi="Times New Roman" w:cs="Times New Roman"/>
      <w:sz w:val="24"/>
      <w:szCs w:val="24"/>
      <w:lang w:val="nb-NO" w:eastAsia="nb-NO"/>
    </w:rPr>
  </w:style>
  <w:style w:type="character" w:styleId="Hyperkobling">
    <w:name w:val="Hyperlink"/>
    <w:rsid w:val="00F86418"/>
    <w:rPr>
      <w:color w:val="0000FF"/>
      <w:u w:val="single"/>
    </w:rPr>
  </w:style>
  <w:style w:type="paragraph" w:styleId="Fotnotetekst">
    <w:name w:val="footnote text"/>
    <w:basedOn w:val="Normal"/>
    <w:link w:val="FotnotetekstTegn"/>
    <w:semiHidden/>
    <w:rsid w:val="00F86418"/>
    <w:rPr>
      <w:sz w:val="20"/>
      <w:szCs w:val="20"/>
    </w:rPr>
  </w:style>
  <w:style w:type="character" w:customStyle="1" w:styleId="FotnotetekstTegn">
    <w:name w:val="Fotnotetekst Tegn"/>
    <w:basedOn w:val="Standardskriftforavsnitt"/>
    <w:link w:val="Fotnotetekst"/>
    <w:semiHidden/>
    <w:rsid w:val="00F86418"/>
    <w:rPr>
      <w:rFonts w:ascii="Times New Roman" w:eastAsia="Times New Roman" w:hAnsi="Times New Roman" w:cs="Times New Roman"/>
      <w:sz w:val="20"/>
      <w:szCs w:val="20"/>
      <w:lang w:val="nb-NO" w:eastAsia="nb-NO"/>
    </w:rPr>
  </w:style>
  <w:style w:type="character" w:styleId="Fotnotereferanse">
    <w:name w:val="footnote reference"/>
    <w:semiHidden/>
    <w:rsid w:val="00F86418"/>
    <w:rPr>
      <w:vertAlign w:val="superscript"/>
    </w:rPr>
  </w:style>
  <w:style w:type="paragraph" w:styleId="Listeavsnitt">
    <w:name w:val="List Paragraph"/>
    <w:basedOn w:val="Normal"/>
    <w:uiPriority w:val="34"/>
    <w:qFormat/>
    <w:rsid w:val="00507111"/>
    <w:pPr>
      <w:ind w:left="720"/>
      <w:contextualSpacing/>
    </w:pPr>
  </w:style>
  <w:style w:type="paragraph" w:styleId="Bobletekst">
    <w:name w:val="Balloon Text"/>
    <w:basedOn w:val="Normal"/>
    <w:link w:val="BobletekstTegn"/>
    <w:uiPriority w:val="99"/>
    <w:semiHidden/>
    <w:unhideWhenUsed/>
    <w:rsid w:val="00AE6A2A"/>
    <w:rPr>
      <w:rFonts w:ascii="Tahoma" w:hAnsi="Tahoma" w:cs="Tahoma"/>
      <w:sz w:val="16"/>
      <w:szCs w:val="16"/>
      <w:lang w:val="en-US"/>
    </w:rPr>
  </w:style>
  <w:style w:type="character" w:customStyle="1" w:styleId="BobletekstTegn">
    <w:name w:val="Bobletekst Tegn"/>
    <w:basedOn w:val="Standardskriftforavsnitt"/>
    <w:link w:val="Bobletekst"/>
    <w:uiPriority w:val="99"/>
    <w:semiHidden/>
    <w:rsid w:val="00AE6A2A"/>
    <w:rPr>
      <w:rFonts w:ascii="Tahoma" w:eastAsia="Times New Roman" w:hAnsi="Tahoma" w:cs="Tahoma"/>
      <w:sz w:val="16"/>
      <w:szCs w:val="16"/>
      <w:lang w:eastAsia="nb-NO"/>
    </w:rPr>
  </w:style>
  <w:style w:type="character" w:styleId="Merknadsreferanse">
    <w:name w:val="annotation reference"/>
    <w:basedOn w:val="Standardskriftforavsnitt"/>
    <w:uiPriority w:val="99"/>
    <w:semiHidden/>
    <w:unhideWhenUsed/>
    <w:rsid w:val="00AE6A2A"/>
    <w:rPr>
      <w:sz w:val="16"/>
      <w:szCs w:val="16"/>
    </w:rPr>
  </w:style>
  <w:style w:type="paragraph" w:styleId="Merknadstekst">
    <w:name w:val="annotation text"/>
    <w:basedOn w:val="Normal"/>
    <w:link w:val="MerknadstekstTegn"/>
    <w:autoRedefine/>
    <w:uiPriority w:val="99"/>
    <w:semiHidden/>
    <w:unhideWhenUsed/>
    <w:rsid w:val="00AE6A2A"/>
    <w:rPr>
      <w:rFonts w:ascii="Calibri" w:hAnsi="Calibri" w:cs="Calibri"/>
      <w:sz w:val="20"/>
      <w:szCs w:val="20"/>
      <w:lang w:val="en-US"/>
    </w:rPr>
  </w:style>
  <w:style w:type="character" w:customStyle="1" w:styleId="MerknadstekstTegn">
    <w:name w:val="Merknadstekst Tegn"/>
    <w:basedOn w:val="Standardskriftforavsnitt"/>
    <w:link w:val="Merknadstekst"/>
    <w:uiPriority w:val="99"/>
    <w:semiHidden/>
    <w:rsid w:val="00AE6A2A"/>
    <w:rPr>
      <w:rFonts w:ascii="Calibri" w:eastAsia="Times New Roman" w:hAnsi="Calibri" w:cs="Calibri"/>
      <w:sz w:val="20"/>
      <w:szCs w:val="20"/>
      <w:lang w:eastAsia="nb-NO"/>
    </w:rPr>
  </w:style>
  <w:style w:type="paragraph" w:styleId="Kommentaremne">
    <w:name w:val="annotation subject"/>
    <w:basedOn w:val="Merknadstekst"/>
    <w:next w:val="Merknadstekst"/>
    <w:link w:val="KommentaremneTegn"/>
    <w:uiPriority w:val="99"/>
    <w:semiHidden/>
    <w:unhideWhenUsed/>
    <w:rsid w:val="00AE6A2A"/>
    <w:rPr>
      <w:b/>
      <w:bCs/>
    </w:rPr>
  </w:style>
  <w:style w:type="character" w:customStyle="1" w:styleId="KommentaremneTegn">
    <w:name w:val="Kommentaremne Tegn"/>
    <w:basedOn w:val="MerknadstekstTegn"/>
    <w:link w:val="Kommentaremne"/>
    <w:uiPriority w:val="99"/>
    <w:semiHidden/>
    <w:rsid w:val="00AE6A2A"/>
    <w:rPr>
      <w:rFonts w:ascii="Times New Roman" w:eastAsia="Times New Roman" w:hAnsi="Times New Roman" w:cs="Times New Roman"/>
      <w:b/>
      <w:bCs/>
      <w:sz w:val="20"/>
      <w:szCs w:val="20"/>
      <w:lang w:val="nb-NO" w:eastAsia="nb-NO"/>
    </w:rPr>
  </w:style>
  <w:style w:type="character" w:customStyle="1" w:styleId="cit-title4">
    <w:name w:val="cit-title4"/>
    <w:basedOn w:val="Standardskriftforavsnitt"/>
    <w:rsid w:val="00A0741E"/>
  </w:style>
  <w:style w:type="character" w:customStyle="1" w:styleId="cit-doi2">
    <w:name w:val="cit-doi2"/>
    <w:basedOn w:val="Standardskriftforavsnitt"/>
    <w:rsid w:val="00A0741E"/>
  </w:style>
  <w:style w:type="paragraph" w:styleId="Revisjon">
    <w:name w:val="Revision"/>
    <w:hidden/>
    <w:uiPriority w:val="99"/>
    <w:semiHidden/>
    <w:rsid w:val="006548D2"/>
    <w:pPr>
      <w:spacing w:after="0" w:line="240" w:lineRule="auto"/>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2004">
      <w:bodyDiv w:val="1"/>
      <w:marLeft w:val="0"/>
      <w:marRight w:val="0"/>
      <w:marTop w:val="0"/>
      <w:marBottom w:val="0"/>
      <w:divBdr>
        <w:top w:val="none" w:sz="0" w:space="0" w:color="auto"/>
        <w:left w:val="none" w:sz="0" w:space="0" w:color="auto"/>
        <w:bottom w:val="none" w:sz="0" w:space="0" w:color="auto"/>
        <w:right w:val="none" w:sz="0" w:space="0" w:color="auto"/>
      </w:divBdr>
    </w:div>
    <w:div w:id="137259784">
      <w:bodyDiv w:val="1"/>
      <w:marLeft w:val="0"/>
      <w:marRight w:val="0"/>
      <w:marTop w:val="0"/>
      <w:marBottom w:val="0"/>
      <w:divBdr>
        <w:top w:val="none" w:sz="0" w:space="0" w:color="auto"/>
        <w:left w:val="none" w:sz="0" w:space="0" w:color="auto"/>
        <w:bottom w:val="none" w:sz="0" w:space="0" w:color="auto"/>
        <w:right w:val="none" w:sz="0" w:space="0" w:color="auto"/>
      </w:divBdr>
      <w:divsChild>
        <w:div w:id="440148884">
          <w:marLeft w:val="0"/>
          <w:marRight w:val="0"/>
          <w:marTop w:val="0"/>
          <w:marBottom w:val="0"/>
          <w:divBdr>
            <w:top w:val="none" w:sz="0" w:space="0" w:color="auto"/>
            <w:left w:val="none" w:sz="0" w:space="0" w:color="auto"/>
            <w:bottom w:val="none" w:sz="0" w:space="0" w:color="auto"/>
            <w:right w:val="none" w:sz="0" w:space="0" w:color="auto"/>
          </w:divBdr>
          <w:divsChild>
            <w:div w:id="1898930443">
              <w:marLeft w:val="0"/>
              <w:marRight w:val="0"/>
              <w:marTop w:val="0"/>
              <w:marBottom w:val="0"/>
              <w:divBdr>
                <w:top w:val="none" w:sz="0" w:space="0" w:color="auto"/>
                <w:left w:val="none" w:sz="0" w:space="0" w:color="auto"/>
                <w:bottom w:val="none" w:sz="0" w:space="0" w:color="auto"/>
                <w:right w:val="none" w:sz="0" w:space="0" w:color="auto"/>
              </w:divBdr>
              <w:divsChild>
                <w:div w:id="1870876867">
                  <w:marLeft w:val="0"/>
                  <w:marRight w:val="0"/>
                  <w:marTop w:val="360"/>
                  <w:marBottom w:val="0"/>
                  <w:divBdr>
                    <w:top w:val="single" w:sz="6" w:space="6" w:color="660033"/>
                    <w:left w:val="none" w:sz="0" w:space="0" w:color="auto"/>
                    <w:bottom w:val="none" w:sz="0" w:space="0" w:color="auto"/>
                    <w:right w:val="none" w:sz="0" w:space="0" w:color="auto"/>
                  </w:divBdr>
                  <w:divsChild>
                    <w:div w:id="1979219790">
                      <w:marLeft w:val="0"/>
                      <w:marRight w:val="0"/>
                      <w:marTop w:val="168"/>
                      <w:marBottom w:val="0"/>
                      <w:divBdr>
                        <w:top w:val="none" w:sz="0" w:space="0" w:color="auto"/>
                        <w:left w:val="none" w:sz="0" w:space="0" w:color="auto"/>
                        <w:bottom w:val="none" w:sz="0" w:space="0" w:color="auto"/>
                        <w:right w:val="none" w:sz="0" w:space="0" w:color="auto"/>
                      </w:divBdr>
                      <w:divsChild>
                        <w:div w:id="14347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850762">
      <w:bodyDiv w:val="1"/>
      <w:marLeft w:val="0"/>
      <w:marRight w:val="0"/>
      <w:marTop w:val="0"/>
      <w:marBottom w:val="0"/>
      <w:divBdr>
        <w:top w:val="none" w:sz="0" w:space="0" w:color="auto"/>
        <w:left w:val="none" w:sz="0" w:space="0" w:color="auto"/>
        <w:bottom w:val="none" w:sz="0" w:space="0" w:color="auto"/>
        <w:right w:val="none" w:sz="0" w:space="0" w:color="auto"/>
      </w:divBdr>
    </w:div>
    <w:div w:id="561520842">
      <w:bodyDiv w:val="1"/>
      <w:marLeft w:val="0"/>
      <w:marRight w:val="0"/>
      <w:marTop w:val="0"/>
      <w:marBottom w:val="0"/>
      <w:divBdr>
        <w:top w:val="none" w:sz="0" w:space="0" w:color="auto"/>
        <w:left w:val="none" w:sz="0" w:space="0" w:color="auto"/>
        <w:bottom w:val="none" w:sz="0" w:space="0" w:color="auto"/>
        <w:right w:val="none" w:sz="0" w:space="0" w:color="auto"/>
      </w:divBdr>
    </w:div>
    <w:div w:id="826165804">
      <w:bodyDiv w:val="1"/>
      <w:marLeft w:val="0"/>
      <w:marRight w:val="0"/>
      <w:marTop w:val="0"/>
      <w:marBottom w:val="0"/>
      <w:divBdr>
        <w:top w:val="none" w:sz="0" w:space="0" w:color="auto"/>
        <w:left w:val="none" w:sz="0" w:space="0" w:color="auto"/>
        <w:bottom w:val="none" w:sz="0" w:space="0" w:color="auto"/>
        <w:right w:val="none" w:sz="0" w:space="0" w:color="auto"/>
      </w:divBdr>
    </w:div>
    <w:div w:id="1110854361">
      <w:bodyDiv w:val="1"/>
      <w:marLeft w:val="0"/>
      <w:marRight w:val="0"/>
      <w:marTop w:val="0"/>
      <w:marBottom w:val="0"/>
      <w:divBdr>
        <w:top w:val="none" w:sz="0" w:space="0" w:color="auto"/>
        <w:left w:val="none" w:sz="0" w:space="0" w:color="auto"/>
        <w:bottom w:val="none" w:sz="0" w:space="0" w:color="auto"/>
        <w:right w:val="none" w:sz="0" w:space="0" w:color="auto"/>
      </w:divBdr>
    </w:div>
    <w:div w:id="1273905154">
      <w:bodyDiv w:val="1"/>
      <w:marLeft w:val="0"/>
      <w:marRight w:val="0"/>
      <w:marTop w:val="0"/>
      <w:marBottom w:val="0"/>
      <w:divBdr>
        <w:top w:val="none" w:sz="0" w:space="0" w:color="auto"/>
        <w:left w:val="none" w:sz="0" w:space="0" w:color="auto"/>
        <w:bottom w:val="none" w:sz="0" w:space="0" w:color="auto"/>
        <w:right w:val="none" w:sz="0" w:space="0" w:color="auto"/>
      </w:divBdr>
    </w:div>
    <w:div w:id="1413504685">
      <w:bodyDiv w:val="1"/>
      <w:marLeft w:val="0"/>
      <w:marRight w:val="0"/>
      <w:marTop w:val="0"/>
      <w:marBottom w:val="0"/>
      <w:divBdr>
        <w:top w:val="none" w:sz="0" w:space="0" w:color="auto"/>
        <w:left w:val="none" w:sz="0" w:space="0" w:color="auto"/>
        <w:bottom w:val="none" w:sz="0" w:space="0" w:color="auto"/>
        <w:right w:val="none" w:sz="0" w:space="0" w:color="auto"/>
      </w:divBdr>
    </w:div>
    <w:div w:id="1683245533">
      <w:bodyDiv w:val="1"/>
      <w:marLeft w:val="0"/>
      <w:marRight w:val="0"/>
      <w:marTop w:val="0"/>
      <w:marBottom w:val="0"/>
      <w:divBdr>
        <w:top w:val="none" w:sz="0" w:space="0" w:color="auto"/>
        <w:left w:val="none" w:sz="0" w:space="0" w:color="auto"/>
        <w:bottom w:val="none" w:sz="0" w:space="0" w:color="auto"/>
        <w:right w:val="none" w:sz="0" w:space="0" w:color="auto"/>
      </w:divBdr>
    </w:div>
    <w:div w:id="202205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atingfund2.org"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83BB7-3D72-4F6C-B3B8-BFA9CD801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79C57DBE.dotm</Template>
  <TotalTime>26</TotalTime>
  <Pages>33</Pages>
  <Words>9479</Words>
  <Characters>50243</Characters>
  <Application>Microsoft Office Word</Application>
  <DocSecurity>0</DocSecurity>
  <Lines>418</Lines>
  <Paragraphs>119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Agder</Company>
  <LinksUpToDate>false</LinksUpToDate>
  <CharactersWithSpaces>59603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InstNT</dc:creator>
  <cp:lastModifiedBy>Roy Mersland</cp:lastModifiedBy>
  <cp:revision>15</cp:revision>
  <cp:lastPrinted>2011-06-06T08:22:00Z</cp:lastPrinted>
  <dcterms:created xsi:type="dcterms:W3CDTF">2013-01-16T09:47:00Z</dcterms:created>
  <dcterms:modified xsi:type="dcterms:W3CDTF">2017-01-04T14:12:00Z</dcterms:modified>
</cp:coreProperties>
</file>