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0A2" w:rsidRPr="005A0C0E" w:rsidRDefault="009440A2">
      <w:pPr>
        <w:rPr>
          <w:lang w:val="en-US"/>
        </w:rPr>
      </w:pPr>
    </w:p>
    <w:p w:rsidR="00431631" w:rsidRPr="005A0C0E" w:rsidRDefault="00431631">
      <w:pPr>
        <w:rPr>
          <w:lang w:val="en-US"/>
        </w:rPr>
      </w:pPr>
    </w:p>
    <w:p w:rsidR="00431631" w:rsidRPr="005A0C0E" w:rsidRDefault="00431631">
      <w:pPr>
        <w:rPr>
          <w:lang w:val="en-US"/>
        </w:rPr>
      </w:pPr>
    </w:p>
    <w:p w:rsidR="005D4703" w:rsidRPr="005A0C0E" w:rsidRDefault="005D4703" w:rsidP="00950A1D">
      <w:pPr>
        <w:jc w:val="center"/>
        <w:rPr>
          <w:b/>
          <w:sz w:val="48"/>
          <w:szCs w:val="48"/>
          <w:lang w:val="en-US"/>
        </w:rPr>
      </w:pPr>
      <w:r w:rsidRPr="005A0C0E">
        <w:rPr>
          <w:b/>
          <w:sz w:val="48"/>
          <w:szCs w:val="48"/>
          <w:lang w:val="en-US"/>
        </w:rPr>
        <w:t>Microfinance &amp; Disability</w:t>
      </w:r>
    </w:p>
    <w:p w:rsidR="00431631" w:rsidRPr="005A0C0E" w:rsidRDefault="008F52AA" w:rsidP="00957B3B">
      <w:pPr>
        <w:jc w:val="center"/>
        <w:rPr>
          <w:b/>
          <w:sz w:val="40"/>
          <w:szCs w:val="40"/>
          <w:lang w:val="en-US"/>
        </w:rPr>
      </w:pPr>
      <w:r>
        <w:rPr>
          <w:b/>
          <w:sz w:val="40"/>
          <w:szCs w:val="40"/>
          <w:lang w:val="en-US"/>
        </w:rPr>
        <w:t>R</w:t>
      </w:r>
      <w:r w:rsidR="00431631" w:rsidRPr="005A0C0E">
        <w:rPr>
          <w:b/>
          <w:sz w:val="40"/>
          <w:szCs w:val="40"/>
          <w:lang w:val="en-US"/>
        </w:rPr>
        <w:t xml:space="preserve">ecommendations for </w:t>
      </w:r>
      <w:r>
        <w:rPr>
          <w:b/>
          <w:sz w:val="40"/>
          <w:szCs w:val="40"/>
          <w:lang w:val="en-US"/>
        </w:rPr>
        <w:t xml:space="preserve">policymakers and </w:t>
      </w:r>
      <w:r w:rsidR="005D4703" w:rsidRPr="005A0C0E">
        <w:rPr>
          <w:b/>
          <w:sz w:val="40"/>
          <w:szCs w:val="40"/>
          <w:lang w:val="en-US"/>
        </w:rPr>
        <w:t>practitioners</w:t>
      </w:r>
      <w:bookmarkStart w:id="0" w:name="_GoBack"/>
      <w:bookmarkEnd w:id="0"/>
    </w:p>
    <w:p w:rsidR="00431631" w:rsidRPr="005A0C0E" w:rsidRDefault="00431631">
      <w:pPr>
        <w:rPr>
          <w:lang w:val="en-US"/>
        </w:rPr>
      </w:pPr>
    </w:p>
    <w:p w:rsidR="00950A1D" w:rsidRPr="005A0C0E" w:rsidRDefault="00950A1D">
      <w:pPr>
        <w:rPr>
          <w:lang w:val="en-US"/>
        </w:rPr>
      </w:pPr>
    </w:p>
    <w:p w:rsidR="00950A1D" w:rsidRPr="005A0C0E" w:rsidRDefault="00950A1D" w:rsidP="00950A1D">
      <w:pPr>
        <w:spacing w:line="480" w:lineRule="atLeast"/>
        <w:jc w:val="center"/>
        <w:rPr>
          <w:lang w:val="en-US"/>
        </w:rPr>
      </w:pPr>
      <w:r w:rsidRPr="005A0C0E">
        <w:rPr>
          <w:lang w:val="en-US"/>
        </w:rPr>
        <w:t>Leif Atle Beisland and Roy Mersland</w:t>
      </w:r>
    </w:p>
    <w:p w:rsidR="00950A1D" w:rsidRPr="005A0C0E" w:rsidRDefault="00950A1D" w:rsidP="00950A1D">
      <w:pPr>
        <w:spacing w:line="480" w:lineRule="atLeast"/>
        <w:jc w:val="center"/>
        <w:rPr>
          <w:lang w:val="en-US"/>
        </w:rPr>
      </w:pPr>
      <w:r w:rsidRPr="005A0C0E">
        <w:rPr>
          <w:lang w:val="en-US"/>
        </w:rPr>
        <w:t>Department of Economics and Business Administration</w:t>
      </w:r>
    </w:p>
    <w:p w:rsidR="00950A1D" w:rsidRPr="005A0C0E" w:rsidRDefault="00950A1D" w:rsidP="00950A1D">
      <w:pPr>
        <w:spacing w:line="480" w:lineRule="atLeast"/>
        <w:jc w:val="center"/>
        <w:rPr>
          <w:lang w:val="en-US"/>
        </w:rPr>
      </w:pPr>
      <w:r w:rsidRPr="005A0C0E">
        <w:rPr>
          <w:lang w:val="en-US"/>
        </w:rPr>
        <w:t>University of Agder</w:t>
      </w:r>
    </w:p>
    <w:p w:rsidR="00950A1D" w:rsidRPr="005A0C0E" w:rsidRDefault="00950A1D" w:rsidP="00950A1D">
      <w:pPr>
        <w:spacing w:line="480" w:lineRule="atLeast"/>
        <w:jc w:val="center"/>
        <w:rPr>
          <w:lang w:val="en-US"/>
        </w:rPr>
      </w:pPr>
      <w:proofErr w:type="spellStart"/>
      <w:r w:rsidRPr="005A0C0E">
        <w:rPr>
          <w:lang w:val="en-US"/>
        </w:rPr>
        <w:t>Servicebox</w:t>
      </w:r>
      <w:proofErr w:type="spellEnd"/>
      <w:r w:rsidRPr="005A0C0E">
        <w:rPr>
          <w:lang w:val="en-US"/>
        </w:rPr>
        <w:t xml:space="preserve"> 422</w:t>
      </w:r>
    </w:p>
    <w:p w:rsidR="00950A1D" w:rsidRPr="005A0C0E" w:rsidRDefault="00950A1D" w:rsidP="00950A1D">
      <w:pPr>
        <w:spacing w:line="480" w:lineRule="atLeast"/>
        <w:jc w:val="center"/>
        <w:rPr>
          <w:lang w:val="en-US"/>
        </w:rPr>
      </w:pPr>
      <w:r w:rsidRPr="005A0C0E">
        <w:rPr>
          <w:lang w:val="en-US"/>
        </w:rPr>
        <w:t>4604 Kristiansand</w:t>
      </w:r>
    </w:p>
    <w:p w:rsidR="00950A1D" w:rsidRPr="005A0C0E" w:rsidRDefault="00950A1D" w:rsidP="00950A1D">
      <w:pPr>
        <w:spacing w:line="480" w:lineRule="atLeast"/>
        <w:jc w:val="center"/>
        <w:rPr>
          <w:lang w:val="en-US"/>
        </w:rPr>
      </w:pPr>
      <w:r w:rsidRPr="005A0C0E">
        <w:rPr>
          <w:lang w:val="en-US"/>
        </w:rPr>
        <w:t>Norway</w:t>
      </w:r>
    </w:p>
    <w:p w:rsidR="008F662E" w:rsidRPr="005A0C0E" w:rsidRDefault="008F662E" w:rsidP="00950A1D">
      <w:pPr>
        <w:spacing w:line="480" w:lineRule="atLeast"/>
        <w:jc w:val="center"/>
        <w:rPr>
          <w:lang w:val="en-US"/>
        </w:rPr>
      </w:pPr>
    </w:p>
    <w:p w:rsidR="008F662E" w:rsidRPr="005A0C0E" w:rsidRDefault="008F662E" w:rsidP="00950A1D">
      <w:pPr>
        <w:spacing w:line="480" w:lineRule="atLeast"/>
        <w:jc w:val="center"/>
        <w:rPr>
          <w:lang w:val="en-US"/>
        </w:rPr>
      </w:pPr>
      <w:r w:rsidRPr="005A0C0E">
        <w:rPr>
          <w:lang w:val="en-US"/>
        </w:rPr>
        <w:t>Corresponding author: Roy Mersland (roy.mersland@uia.no)</w:t>
      </w:r>
    </w:p>
    <w:p w:rsidR="00950A1D" w:rsidRPr="005A0C0E" w:rsidRDefault="00950A1D" w:rsidP="00950A1D">
      <w:pPr>
        <w:spacing w:line="480" w:lineRule="atLeast"/>
        <w:jc w:val="center"/>
        <w:rPr>
          <w:lang w:val="en-US"/>
        </w:rPr>
      </w:pPr>
    </w:p>
    <w:p w:rsidR="00621C01" w:rsidRDefault="00C92346" w:rsidP="00950A1D">
      <w:pPr>
        <w:spacing w:line="480" w:lineRule="atLeast"/>
        <w:jc w:val="center"/>
        <w:rPr>
          <w:lang w:val="en-US"/>
        </w:rPr>
      </w:pPr>
      <w:r>
        <w:rPr>
          <w:lang w:val="en-US"/>
        </w:rPr>
        <w:t>Published</w:t>
      </w:r>
      <w:r w:rsidR="00621C01">
        <w:rPr>
          <w:lang w:val="en-US"/>
        </w:rPr>
        <w:t xml:space="preserve"> in </w:t>
      </w:r>
    </w:p>
    <w:p w:rsidR="00950A1D" w:rsidRPr="005A0C0E" w:rsidRDefault="00621C01" w:rsidP="00950A1D">
      <w:pPr>
        <w:spacing w:line="480" w:lineRule="atLeast"/>
        <w:jc w:val="center"/>
        <w:rPr>
          <w:lang w:val="en-US"/>
        </w:rPr>
      </w:pPr>
      <w:r w:rsidRPr="005B7863">
        <w:rPr>
          <w:lang w:val="en-US"/>
        </w:rPr>
        <w:t>Heymann, J., M.A. Stein and G. Moreno (Eds.)</w:t>
      </w:r>
      <w:r>
        <w:rPr>
          <w:lang w:val="en-US"/>
        </w:rPr>
        <w:t>,</w:t>
      </w:r>
      <w:r w:rsidRPr="005B7863">
        <w:rPr>
          <w:lang w:val="en-US"/>
        </w:rPr>
        <w:t xml:space="preserve"> Disability and Equity at Work, </w:t>
      </w:r>
      <w:r>
        <w:rPr>
          <w:u w:val="single"/>
          <w:lang w:val="en-US"/>
        </w:rPr>
        <w:t>Oxford</w:t>
      </w:r>
      <w:r w:rsidRPr="005B7863">
        <w:rPr>
          <w:u w:val="single"/>
          <w:lang w:val="en-US"/>
        </w:rPr>
        <w:t xml:space="preserve"> University Press.</w:t>
      </w:r>
    </w:p>
    <w:p w:rsidR="00431631" w:rsidRPr="005A0C0E" w:rsidRDefault="00431631">
      <w:pPr>
        <w:rPr>
          <w:lang w:val="en-US"/>
        </w:rPr>
      </w:pPr>
    </w:p>
    <w:p w:rsidR="00950A1D" w:rsidRPr="005A0C0E" w:rsidRDefault="00950A1D">
      <w:pPr>
        <w:rPr>
          <w:lang w:val="en-US"/>
        </w:rPr>
      </w:pPr>
    </w:p>
    <w:p w:rsidR="00950A1D" w:rsidRPr="005A0C0E" w:rsidRDefault="00950A1D">
      <w:pPr>
        <w:rPr>
          <w:lang w:val="en-US"/>
        </w:rPr>
      </w:pPr>
    </w:p>
    <w:p w:rsidR="00431631" w:rsidRPr="005A0C0E" w:rsidRDefault="00431631" w:rsidP="004E05EF">
      <w:pPr>
        <w:spacing w:line="480" w:lineRule="auto"/>
        <w:rPr>
          <w:b/>
          <w:lang w:val="en-US"/>
        </w:rPr>
      </w:pPr>
      <w:r w:rsidRPr="005A0C0E">
        <w:rPr>
          <w:b/>
          <w:lang w:val="en-US"/>
        </w:rPr>
        <w:lastRenderedPageBreak/>
        <w:t>1. Introduction</w:t>
      </w:r>
    </w:p>
    <w:p w:rsidR="00431631" w:rsidRPr="005A0C0E" w:rsidRDefault="004C7A87" w:rsidP="004E05EF">
      <w:pPr>
        <w:spacing w:line="480" w:lineRule="auto"/>
        <w:rPr>
          <w:lang w:val="en-US"/>
        </w:rPr>
      </w:pPr>
      <w:r w:rsidRPr="005A0C0E">
        <w:rPr>
          <w:lang w:val="en-US"/>
        </w:rPr>
        <w:t>The provision of financial services to poor persons</w:t>
      </w:r>
      <w:r w:rsidR="005E1DE7" w:rsidRPr="005A0C0E">
        <w:rPr>
          <w:lang w:val="en-US"/>
        </w:rPr>
        <w:t xml:space="preserve"> – microfinance –</w:t>
      </w:r>
      <w:r w:rsidRPr="005A0C0E">
        <w:rPr>
          <w:lang w:val="en-US"/>
        </w:rPr>
        <w:t xml:space="preserve"> has been</w:t>
      </w:r>
      <w:r w:rsidR="008C19F2" w:rsidRPr="005A0C0E">
        <w:rPr>
          <w:lang w:val="en-US"/>
        </w:rPr>
        <w:t xml:space="preserve"> praised</w:t>
      </w:r>
      <w:r w:rsidRPr="005A0C0E">
        <w:rPr>
          <w:lang w:val="en-US"/>
        </w:rPr>
        <w:t xml:space="preserve"> for its development effect. It has been an implicit assumption that access to microfinance services </w:t>
      </w:r>
      <w:r w:rsidR="00AC38CD" w:rsidRPr="005A0C0E">
        <w:rPr>
          <w:lang w:val="en-US"/>
        </w:rPr>
        <w:t xml:space="preserve">may improve the standard of living of poor people, particularly in </w:t>
      </w:r>
      <w:r w:rsidR="00B34E51" w:rsidRPr="005A0C0E">
        <w:rPr>
          <w:lang w:val="en-US"/>
        </w:rPr>
        <w:t>low- and middle-income</w:t>
      </w:r>
      <w:r w:rsidR="00AC38CD" w:rsidRPr="005A0C0E">
        <w:rPr>
          <w:lang w:val="en-US"/>
        </w:rPr>
        <w:t xml:space="preserve"> countries. </w:t>
      </w:r>
      <w:r w:rsidRPr="005A0C0E">
        <w:rPr>
          <w:lang w:val="en-US"/>
        </w:rPr>
        <w:t xml:space="preserve">Nonetheless, it is often contended that </w:t>
      </w:r>
      <w:r w:rsidR="00B40B1E" w:rsidRPr="005A0C0E">
        <w:rPr>
          <w:lang w:val="en-US"/>
        </w:rPr>
        <w:t>especially</w:t>
      </w:r>
      <w:r w:rsidRPr="005A0C0E">
        <w:rPr>
          <w:lang w:val="en-US"/>
        </w:rPr>
        <w:t xml:space="preserve"> vulnerable groups of people, for instance persons with disabilities, are barred from </w:t>
      </w:r>
      <w:r w:rsidR="005D4703" w:rsidRPr="005A0C0E">
        <w:rPr>
          <w:lang w:val="en-US"/>
        </w:rPr>
        <w:t xml:space="preserve">accessing </w:t>
      </w:r>
      <w:r w:rsidRPr="005A0C0E">
        <w:rPr>
          <w:lang w:val="en-US"/>
        </w:rPr>
        <w:t xml:space="preserve">microfinance </w:t>
      </w:r>
      <w:r w:rsidR="005D4703" w:rsidRPr="005A0C0E">
        <w:rPr>
          <w:lang w:val="en-US"/>
        </w:rPr>
        <w:t>services</w:t>
      </w:r>
      <w:r w:rsidRPr="005A0C0E">
        <w:rPr>
          <w:lang w:val="en-US"/>
        </w:rPr>
        <w:t xml:space="preserve"> (</w:t>
      </w:r>
      <w:proofErr w:type="spellStart"/>
      <w:r w:rsidRPr="005A0C0E">
        <w:rPr>
          <w:lang w:val="en-US"/>
        </w:rPr>
        <w:t>Cramm</w:t>
      </w:r>
      <w:proofErr w:type="spellEnd"/>
      <w:r w:rsidRPr="005A0C0E">
        <w:rPr>
          <w:lang w:val="en-US"/>
        </w:rPr>
        <w:t xml:space="preserve"> and </w:t>
      </w:r>
      <w:proofErr w:type="spellStart"/>
      <w:r w:rsidRPr="005A0C0E">
        <w:rPr>
          <w:lang w:val="en-US"/>
        </w:rPr>
        <w:t>Finkenflügel</w:t>
      </w:r>
      <w:proofErr w:type="spellEnd"/>
      <w:r w:rsidRPr="005A0C0E">
        <w:rPr>
          <w:lang w:val="en-US"/>
        </w:rPr>
        <w:t xml:space="preserve">, 2008). </w:t>
      </w:r>
      <w:r w:rsidR="005E1DE7" w:rsidRPr="005A0C0E">
        <w:rPr>
          <w:lang w:val="en-US"/>
        </w:rPr>
        <w:t>Historically</w:t>
      </w:r>
      <w:r w:rsidR="001A1272" w:rsidRPr="005A0C0E">
        <w:rPr>
          <w:lang w:val="en-US"/>
        </w:rPr>
        <w:t xml:space="preserve">, such claims </w:t>
      </w:r>
      <w:r w:rsidR="005E1DE7" w:rsidRPr="005A0C0E">
        <w:rPr>
          <w:lang w:val="en-US"/>
        </w:rPr>
        <w:t>have been</w:t>
      </w:r>
      <w:r w:rsidR="00851145" w:rsidRPr="005A0C0E">
        <w:rPr>
          <w:lang w:val="en-US"/>
        </w:rPr>
        <w:t xml:space="preserve"> based on </w:t>
      </w:r>
      <w:r w:rsidR="001A1272" w:rsidRPr="005A0C0E">
        <w:rPr>
          <w:lang w:val="en-US"/>
        </w:rPr>
        <w:t>expert opinions (</w:t>
      </w:r>
      <w:proofErr w:type="spellStart"/>
      <w:r w:rsidR="001A1272" w:rsidRPr="005A0C0E">
        <w:rPr>
          <w:lang w:val="en-US"/>
        </w:rPr>
        <w:t>Martinelli</w:t>
      </w:r>
      <w:proofErr w:type="spellEnd"/>
      <w:r w:rsidR="001A1272" w:rsidRPr="005A0C0E">
        <w:rPr>
          <w:lang w:val="en-US"/>
        </w:rPr>
        <w:t xml:space="preserve"> and Mersland, 2010)</w:t>
      </w:r>
      <w:r w:rsidR="005D4703" w:rsidRPr="005A0C0E">
        <w:rPr>
          <w:lang w:val="en-US"/>
        </w:rPr>
        <w:t xml:space="preserve"> </w:t>
      </w:r>
      <w:r w:rsidR="001A1272" w:rsidRPr="005A0C0E">
        <w:rPr>
          <w:lang w:val="en-US"/>
        </w:rPr>
        <w:t>because “</w:t>
      </w:r>
      <w:r w:rsidRPr="005A0C0E">
        <w:rPr>
          <w:lang w:val="en-US"/>
        </w:rPr>
        <w:t>the academic literature on microfinance and disability published in peer-reviewed journals is basically non-existent</w:t>
      </w:r>
      <w:r w:rsidR="001A1272" w:rsidRPr="005A0C0E">
        <w:rPr>
          <w:lang w:val="en-US"/>
        </w:rPr>
        <w:t>” (</w:t>
      </w:r>
      <w:proofErr w:type="spellStart"/>
      <w:r w:rsidR="001A1272" w:rsidRPr="005A0C0E">
        <w:rPr>
          <w:lang w:val="en-US"/>
        </w:rPr>
        <w:t>Bwire</w:t>
      </w:r>
      <w:proofErr w:type="spellEnd"/>
      <w:r w:rsidR="001A1272" w:rsidRPr="005A0C0E">
        <w:rPr>
          <w:lang w:val="en-US"/>
        </w:rPr>
        <w:t xml:space="preserve"> et al., 2009, p. </w:t>
      </w:r>
      <w:r w:rsidR="00356C17" w:rsidRPr="005A0C0E">
        <w:rPr>
          <w:lang w:val="en-US"/>
        </w:rPr>
        <w:t>4</w:t>
      </w:r>
      <w:r w:rsidR="001A1272" w:rsidRPr="005A0C0E">
        <w:rPr>
          <w:lang w:val="en-US"/>
        </w:rPr>
        <w:t>)</w:t>
      </w:r>
      <w:r w:rsidRPr="005A0C0E">
        <w:rPr>
          <w:lang w:val="en-US"/>
        </w:rPr>
        <w:t>.</w:t>
      </w:r>
      <w:r w:rsidR="005D4703" w:rsidRPr="005A0C0E">
        <w:rPr>
          <w:lang w:val="en-US"/>
        </w:rPr>
        <w:t xml:space="preserve"> </w:t>
      </w:r>
      <w:r w:rsidR="008D59E8" w:rsidRPr="005A0C0E">
        <w:rPr>
          <w:lang w:val="en-US"/>
        </w:rPr>
        <w:t>Nevertheless</w:t>
      </w:r>
      <w:r w:rsidR="00E632A7" w:rsidRPr="005A0C0E">
        <w:rPr>
          <w:lang w:val="en-US"/>
        </w:rPr>
        <w:t>, the topic is important; b</w:t>
      </w:r>
      <w:r w:rsidR="0088351E" w:rsidRPr="005A0C0E">
        <w:rPr>
          <w:lang w:val="en-US"/>
        </w:rPr>
        <w:t>ecause</w:t>
      </w:r>
      <w:r w:rsidR="00AC38CD" w:rsidRPr="005A0C0E">
        <w:rPr>
          <w:lang w:val="en-US"/>
        </w:rPr>
        <w:t xml:space="preserve"> </w:t>
      </w:r>
      <w:r w:rsidR="00B379D9" w:rsidRPr="005A0C0E">
        <w:rPr>
          <w:lang w:val="en-US"/>
        </w:rPr>
        <w:t>persons with disabilities</w:t>
      </w:r>
      <w:r w:rsidR="005C192D" w:rsidRPr="005A0C0E">
        <w:rPr>
          <w:lang w:val="en-US"/>
        </w:rPr>
        <w:t xml:space="preserve"> living in </w:t>
      </w:r>
      <w:r w:rsidR="00B34E51" w:rsidRPr="005A0C0E">
        <w:rPr>
          <w:lang w:val="en-US"/>
        </w:rPr>
        <w:t xml:space="preserve">low- and middle-income </w:t>
      </w:r>
      <w:r w:rsidR="005C192D" w:rsidRPr="005A0C0E">
        <w:rPr>
          <w:lang w:val="en-US"/>
        </w:rPr>
        <w:t xml:space="preserve">countries often struggle to </w:t>
      </w:r>
      <w:r w:rsidR="005A0C0E" w:rsidRPr="00B624A8">
        <w:rPr>
          <w:lang w:val="en-US"/>
        </w:rPr>
        <w:t>obtain</w:t>
      </w:r>
      <w:r w:rsidR="005A0C0E" w:rsidRPr="005A0C0E">
        <w:rPr>
          <w:lang w:val="en-US"/>
        </w:rPr>
        <w:t xml:space="preserve"> </w:t>
      </w:r>
      <w:r w:rsidR="005C192D" w:rsidRPr="005A0C0E">
        <w:rPr>
          <w:lang w:val="en-US"/>
        </w:rPr>
        <w:t>a job</w:t>
      </w:r>
      <w:r w:rsidR="007B6944" w:rsidRPr="005A0C0E">
        <w:rPr>
          <w:lang w:val="en-US"/>
        </w:rPr>
        <w:t>,</w:t>
      </w:r>
      <w:r w:rsidR="005C192D" w:rsidRPr="005A0C0E">
        <w:rPr>
          <w:lang w:val="en-US"/>
        </w:rPr>
        <w:t xml:space="preserve"> most of them turn to self-employment</w:t>
      </w:r>
      <w:r w:rsidR="007B6944" w:rsidRPr="005A0C0E">
        <w:rPr>
          <w:lang w:val="en-US"/>
        </w:rPr>
        <w:t>,</w:t>
      </w:r>
      <w:r w:rsidR="005C192D" w:rsidRPr="005A0C0E">
        <w:rPr>
          <w:lang w:val="en-US"/>
        </w:rPr>
        <w:t xml:space="preserve"> and access to capital is</w:t>
      </w:r>
      <w:r w:rsidR="0088351E" w:rsidRPr="005A0C0E">
        <w:rPr>
          <w:lang w:val="en-US"/>
        </w:rPr>
        <w:t xml:space="preserve"> thus</w:t>
      </w:r>
      <w:r w:rsidR="005C192D" w:rsidRPr="005A0C0E">
        <w:rPr>
          <w:lang w:val="en-US"/>
        </w:rPr>
        <w:t xml:space="preserve"> a </w:t>
      </w:r>
      <w:r w:rsidR="005A0C0E" w:rsidRPr="00B624A8">
        <w:rPr>
          <w:lang w:val="en-US"/>
        </w:rPr>
        <w:t>necessary</w:t>
      </w:r>
      <w:r w:rsidR="005A0C0E" w:rsidRPr="005A0C0E">
        <w:rPr>
          <w:lang w:val="en-US"/>
        </w:rPr>
        <w:t xml:space="preserve"> </w:t>
      </w:r>
      <w:r w:rsidR="005C192D" w:rsidRPr="005A0C0E">
        <w:rPr>
          <w:lang w:val="en-US"/>
        </w:rPr>
        <w:t>ingredient</w:t>
      </w:r>
      <w:r w:rsidR="005A0C0E" w:rsidRPr="00B624A8">
        <w:rPr>
          <w:lang w:val="en-US"/>
        </w:rPr>
        <w:t xml:space="preserve"> for success</w:t>
      </w:r>
      <w:r w:rsidR="005C192D" w:rsidRPr="005A0C0E">
        <w:rPr>
          <w:lang w:val="en-US"/>
        </w:rPr>
        <w:t xml:space="preserve">. </w:t>
      </w:r>
      <w:r w:rsidR="00434094" w:rsidRPr="005A0C0E">
        <w:rPr>
          <w:lang w:val="en-US"/>
        </w:rPr>
        <w:t xml:space="preserve">Moreover, the </w:t>
      </w:r>
      <w:r w:rsidR="007B6944" w:rsidRPr="005A0C0E">
        <w:rPr>
          <w:lang w:val="en-US"/>
        </w:rPr>
        <w:t>United Nations Convention on the Rights of Persons with Disabilities</w:t>
      </w:r>
      <w:r w:rsidR="00434094" w:rsidRPr="005A0C0E">
        <w:rPr>
          <w:lang w:val="en-US"/>
        </w:rPr>
        <w:t xml:space="preserve"> </w:t>
      </w:r>
      <w:r w:rsidR="003A314E" w:rsidRPr="005A0C0E">
        <w:rPr>
          <w:lang w:val="en-US"/>
        </w:rPr>
        <w:t xml:space="preserve">promotes </w:t>
      </w:r>
      <w:r w:rsidR="005A0C0E" w:rsidRPr="00B624A8">
        <w:rPr>
          <w:lang w:val="en-US"/>
        </w:rPr>
        <w:t xml:space="preserve">equalizing </w:t>
      </w:r>
      <w:r w:rsidR="00434094" w:rsidRPr="005A0C0E">
        <w:rPr>
          <w:lang w:val="en-US"/>
        </w:rPr>
        <w:t xml:space="preserve">opportunities for persons with disabilities. </w:t>
      </w:r>
      <w:r w:rsidR="005C192D" w:rsidRPr="005A0C0E">
        <w:rPr>
          <w:lang w:val="en-US"/>
        </w:rPr>
        <w:t>The</w:t>
      </w:r>
      <w:r w:rsidR="00A86E2A" w:rsidRPr="005A0C0E">
        <w:rPr>
          <w:lang w:val="en-US"/>
        </w:rPr>
        <w:t xml:space="preserve"> </w:t>
      </w:r>
      <w:r w:rsidR="005A0C0E" w:rsidRPr="00B624A8">
        <w:rPr>
          <w:lang w:val="en-US"/>
        </w:rPr>
        <w:t>paucity</w:t>
      </w:r>
      <w:r w:rsidR="005A0C0E" w:rsidRPr="005A0C0E">
        <w:rPr>
          <w:lang w:val="en-US"/>
        </w:rPr>
        <w:t xml:space="preserve"> </w:t>
      </w:r>
      <w:r w:rsidR="00A86E2A" w:rsidRPr="005A0C0E">
        <w:rPr>
          <w:lang w:val="en-US"/>
        </w:rPr>
        <w:t xml:space="preserve">of research </w:t>
      </w:r>
      <w:r w:rsidR="005C192D" w:rsidRPr="005A0C0E">
        <w:rPr>
          <w:lang w:val="en-US"/>
        </w:rPr>
        <w:t xml:space="preserve">on microfinance and disability </w:t>
      </w:r>
      <w:r w:rsidR="00A86E2A" w:rsidRPr="005A0C0E">
        <w:rPr>
          <w:lang w:val="en-US"/>
        </w:rPr>
        <w:t xml:space="preserve">is </w:t>
      </w:r>
      <w:r w:rsidR="005C192D" w:rsidRPr="005A0C0E">
        <w:rPr>
          <w:lang w:val="en-US"/>
        </w:rPr>
        <w:t xml:space="preserve">therefore </w:t>
      </w:r>
      <w:r w:rsidR="00A86E2A" w:rsidRPr="005A0C0E">
        <w:rPr>
          <w:lang w:val="en-US"/>
        </w:rPr>
        <w:t xml:space="preserve">worrying and problematic. </w:t>
      </w:r>
    </w:p>
    <w:p w:rsidR="001C1384" w:rsidRPr="005A0C0E" w:rsidRDefault="00E02BEE" w:rsidP="004E05EF">
      <w:pPr>
        <w:spacing w:line="480" w:lineRule="auto"/>
        <w:rPr>
          <w:lang w:val="en-US"/>
        </w:rPr>
      </w:pPr>
      <w:r w:rsidRPr="005A0C0E">
        <w:rPr>
          <w:lang w:val="en-US"/>
        </w:rPr>
        <w:t>Recent research on the developmental impact of microfinance has show</w:t>
      </w:r>
      <w:r w:rsidR="00F66111" w:rsidRPr="005A0C0E">
        <w:rPr>
          <w:lang w:val="en-US"/>
        </w:rPr>
        <w:t>n</w:t>
      </w:r>
      <w:r w:rsidRPr="005A0C0E">
        <w:rPr>
          <w:lang w:val="en-US"/>
        </w:rPr>
        <w:t xml:space="preserve"> controversial results. In experimental studies </w:t>
      </w:r>
      <w:r w:rsidR="00F66111" w:rsidRPr="005A0C0E">
        <w:rPr>
          <w:lang w:val="en-US"/>
        </w:rPr>
        <w:t>conducted</w:t>
      </w:r>
      <w:r w:rsidR="00E2381C" w:rsidRPr="005A0C0E">
        <w:rPr>
          <w:lang w:val="en-US"/>
        </w:rPr>
        <w:t xml:space="preserve"> at family and village levels</w:t>
      </w:r>
      <w:r w:rsidR="00F66111" w:rsidRPr="005A0C0E">
        <w:rPr>
          <w:lang w:val="en-US"/>
        </w:rPr>
        <w:t>,</w:t>
      </w:r>
      <w:r w:rsidR="00E2381C" w:rsidRPr="005A0C0E">
        <w:rPr>
          <w:lang w:val="en-US"/>
        </w:rPr>
        <w:t xml:space="preserve"> </w:t>
      </w:r>
      <w:r w:rsidRPr="005A0C0E">
        <w:rPr>
          <w:lang w:val="en-US"/>
        </w:rPr>
        <w:t xml:space="preserve">researchers struggle to identify a positive causal relationship between access to credit and </w:t>
      </w:r>
      <w:r w:rsidR="00663BC0" w:rsidRPr="005A0C0E">
        <w:rPr>
          <w:lang w:val="en-US"/>
        </w:rPr>
        <w:t xml:space="preserve">the </w:t>
      </w:r>
      <w:r w:rsidRPr="005A0C0E">
        <w:rPr>
          <w:lang w:val="en-US"/>
        </w:rPr>
        <w:t xml:space="preserve">improved </w:t>
      </w:r>
      <w:r w:rsidR="00663BC0" w:rsidRPr="005A0C0E">
        <w:rPr>
          <w:lang w:val="en-US"/>
        </w:rPr>
        <w:t>wellbeing</w:t>
      </w:r>
      <w:r w:rsidR="00E2381C" w:rsidRPr="005A0C0E">
        <w:rPr>
          <w:lang w:val="en-US"/>
        </w:rPr>
        <w:t xml:space="preserve"> of poor individuals</w:t>
      </w:r>
      <w:r w:rsidRPr="005A0C0E">
        <w:rPr>
          <w:lang w:val="en-US"/>
        </w:rPr>
        <w:t xml:space="preserve"> (</w:t>
      </w:r>
      <w:r w:rsidR="00B31DC5" w:rsidRPr="005A0C0E">
        <w:rPr>
          <w:lang w:val="en-US"/>
        </w:rPr>
        <w:t>for a summary of the microfinance impact research</w:t>
      </w:r>
      <w:r w:rsidR="00663BC0" w:rsidRPr="005A0C0E">
        <w:rPr>
          <w:lang w:val="en-US"/>
        </w:rPr>
        <w:t>,</w:t>
      </w:r>
      <w:r w:rsidR="00B31DC5" w:rsidRPr="005A0C0E">
        <w:rPr>
          <w:lang w:val="en-US"/>
        </w:rPr>
        <w:t xml:space="preserve"> see </w:t>
      </w:r>
      <w:proofErr w:type="spellStart"/>
      <w:r w:rsidRPr="005A0C0E">
        <w:rPr>
          <w:lang w:val="en-US"/>
        </w:rPr>
        <w:t>Duvenda</w:t>
      </w:r>
      <w:r w:rsidR="00E2381C" w:rsidRPr="005A0C0E">
        <w:rPr>
          <w:lang w:val="en-US"/>
        </w:rPr>
        <w:t>ck</w:t>
      </w:r>
      <w:proofErr w:type="spellEnd"/>
      <w:r w:rsidR="00E2381C" w:rsidRPr="005A0C0E">
        <w:rPr>
          <w:lang w:val="en-US"/>
        </w:rPr>
        <w:t xml:space="preserve"> et al.</w:t>
      </w:r>
      <w:r w:rsidR="00800371" w:rsidRPr="005A0C0E">
        <w:rPr>
          <w:lang w:val="en-US"/>
        </w:rPr>
        <w:t>,</w:t>
      </w:r>
      <w:r w:rsidR="00E2381C" w:rsidRPr="005A0C0E">
        <w:rPr>
          <w:lang w:val="en-US"/>
        </w:rPr>
        <w:t xml:space="preserve"> 2011). At the same time</w:t>
      </w:r>
      <w:r w:rsidR="00663BC0" w:rsidRPr="005A0C0E">
        <w:rPr>
          <w:lang w:val="en-US"/>
        </w:rPr>
        <w:t>,</w:t>
      </w:r>
      <w:r w:rsidR="00E2381C" w:rsidRPr="005A0C0E">
        <w:rPr>
          <w:lang w:val="en-US"/>
        </w:rPr>
        <w:t xml:space="preserve"> researchers find that</w:t>
      </w:r>
      <w:r w:rsidR="00663BC0" w:rsidRPr="005A0C0E">
        <w:rPr>
          <w:lang w:val="en-US"/>
        </w:rPr>
        <w:t xml:space="preserve"> an</w:t>
      </w:r>
      <w:r w:rsidR="00E2381C" w:rsidRPr="005A0C0E">
        <w:rPr>
          <w:lang w:val="en-US"/>
        </w:rPr>
        <w:t xml:space="preserve"> </w:t>
      </w:r>
      <w:r w:rsidR="00B31DC5" w:rsidRPr="005A0C0E">
        <w:rPr>
          <w:lang w:val="en-US"/>
        </w:rPr>
        <w:t xml:space="preserve">increased </w:t>
      </w:r>
      <w:r w:rsidR="00663BC0" w:rsidRPr="005A0C0E">
        <w:rPr>
          <w:lang w:val="en-US"/>
        </w:rPr>
        <w:t xml:space="preserve">penetration </w:t>
      </w:r>
      <w:r w:rsidR="00B31DC5" w:rsidRPr="005A0C0E">
        <w:rPr>
          <w:lang w:val="en-US"/>
        </w:rPr>
        <w:t>of microfinance reduces poverty at the country level (Imai et al.</w:t>
      </w:r>
      <w:r w:rsidR="00800371" w:rsidRPr="005A0C0E">
        <w:rPr>
          <w:lang w:val="en-US"/>
        </w:rPr>
        <w:t>,</w:t>
      </w:r>
      <w:r w:rsidR="00B31DC5" w:rsidRPr="005A0C0E">
        <w:rPr>
          <w:lang w:val="en-US"/>
        </w:rPr>
        <w:t xml:space="preserve"> 2012). As strange as it might sound</w:t>
      </w:r>
      <w:r w:rsidR="007B6944" w:rsidRPr="005A0C0E">
        <w:rPr>
          <w:lang w:val="en-US"/>
        </w:rPr>
        <w:t>,</w:t>
      </w:r>
      <w:r w:rsidR="005A194B" w:rsidRPr="005A0C0E">
        <w:rPr>
          <w:lang w:val="en-US"/>
        </w:rPr>
        <w:t xml:space="preserve"> a</w:t>
      </w:r>
      <w:r w:rsidR="00B31DC5" w:rsidRPr="005A0C0E">
        <w:rPr>
          <w:lang w:val="en-US"/>
        </w:rPr>
        <w:t xml:space="preserve"> non-effect at the micro level and </w:t>
      </w:r>
      <w:r w:rsidR="005A194B" w:rsidRPr="005A0C0E">
        <w:rPr>
          <w:lang w:val="en-US"/>
        </w:rPr>
        <w:t>a</w:t>
      </w:r>
      <w:r w:rsidR="00B31DC5" w:rsidRPr="005A0C0E">
        <w:rPr>
          <w:lang w:val="en-US"/>
        </w:rPr>
        <w:t xml:space="preserve"> positive effect at the macro level may actually </w:t>
      </w:r>
      <w:r w:rsidR="00800371" w:rsidRPr="005A0C0E">
        <w:rPr>
          <w:lang w:val="en-US"/>
        </w:rPr>
        <w:t xml:space="preserve">both </w:t>
      </w:r>
      <w:r w:rsidR="00B31DC5" w:rsidRPr="005A0C0E">
        <w:rPr>
          <w:lang w:val="en-US"/>
        </w:rPr>
        <w:t xml:space="preserve">be true. The reason is that impact studies at the micro level, </w:t>
      </w:r>
      <w:r w:rsidR="005A194B" w:rsidRPr="005A0C0E">
        <w:rPr>
          <w:lang w:val="en-US"/>
        </w:rPr>
        <w:t xml:space="preserve">particularly </w:t>
      </w:r>
      <w:r w:rsidR="00B31DC5" w:rsidRPr="005A0C0E">
        <w:rPr>
          <w:lang w:val="en-US"/>
        </w:rPr>
        <w:t xml:space="preserve">experimental studies, </w:t>
      </w:r>
      <w:r w:rsidR="00E632A7" w:rsidRPr="005A0C0E">
        <w:rPr>
          <w:lang w:val="en-US"/>
        </w:rPr>
        <w:t>may not measure</w:t>
      </w:r>
      <w:r w:rsidR="00B31DC5" w:rsidRPr="005A0C0E">
        <w:rPr>
          <w:lang w:val="en-US"/>
        </w:rPr>
        <w:t xml:space="preserve"> the secondary effect of microfinance. A secondary effect </w:t>
      </w:r>
      <w:r w:rsidR="00E632A7" w:rsidRPr="005A0C0E">
        <w:rPr>
          <w:lang w:val="en-US"/>
        </w:rPr>
        <w:t xml:space="preserve">could, </w:t>
      </w:r>
      <w:r w:rsidR="00B31DC5" w:rsidRPr="005A0C0E">
        <w:rPr>
          <w:lang w:val="en-US"/>
        </w:rPr>
        <w:t>for example</w:t>
      </w:r>
      <w:r w:rsidR="00E632A7" w:rsidRPr="005A0C0E">
        <w:rPr>
          <w:lang w:val="en-US"/>
        </w:rPr>
        <w:t>,</w:t>
      </w:r>
      <w:r w:rsidR="00B31DC5" w:rsidRPr="005A0C0E">
        <w:rPr>
          <w:lang w:val="en-US"/>
        </w:rPr>
        <w:t xml:space="preserve"> </w:t>
      </w:r>
      <w:r w:rsidR="00E632A7" w:rsidRPr="005A0C0E">
        <w:rPr>
          <w:lang w:val="en-US"/>
        </w:rPr>
        <w:t xml:space="preserve">be that </w:t>
      </w:r>
      <w:r w:rsidR="000A2181" w:rsidRPr="005A0C0E">
        <w:rPr>
          <w:lang w:val="en-US"/>
        </w:rPr>
        <w:t xml:space="preserve">microfinance customers use their money to buy groceries at </w:t>
      </w:r>
      <w:r w:rsidR="005A194B" w:rsidRPr="005A0C0E">
        <w:rPr>
          <w:lang w:val="en-US"/>
        </w:rPr>
        <w:t>a</w:t>
      </w:r>
      <w:r w:rsidR="000A2181" w:rsidRPr="005A0C0E">
        <w:rPr>
          <w:lang w:val="en-US"/>
        </w:rPr>
        <w:t xml:space="preserve"> </w:t>
      </w:r>
      <w:r w:rsidR="005A194B" w:rsidRPr="005A0C0E">
        <w:rPr>
          <w:lang w:val="en-US"/>
        </w:rPr>
        <w:t>neighbor’s</w:t>
      </w:r>
      <w:r w:rsidR="000A2181" w:rsidRPr="005A0C0E">
        <w:rPr>
          <w:lang w:val="en-US"/>
        </w:rPr>
        <w:t xml:space="preserve"> store or building materials in a nearby town. </w:t>
      </w:r>
      <w:r w:rsidR="008C17BC">
        <w:rPr>
          <w:lang w:val="en-US"/>
        </w:rPr>
        <w:t>Microfinance customer</w:t>
      </w:r>
      <w:r w:rsidR="005A194B" w:rsidRPr="005A0C0E">
        <w:rPr>
          <w:lang w:val="en-US"/>
        </w:rPr>
        <w:t>s</w:t>
      </w:r>
      <w:r w:rsidR="008C17BC">
        <w:rPr>
          <w:lang w:val="en-US"/>
        </w:rPr>
        <w:t>’</w:t>
      </w:r>
      <w:r w:rsidR="000C6556" w:rsidRPr="005A0C0E">
        <w:rPr>
          <w:lang w:val="en-US"/>
        </w:rPr>
        <w:t xml:space="preserve"> </w:t>
      </w:r>
      <w:r w:rsidR="000C6556" w:rsidRPr="005A0C0E">
        <w:rPr>
          <w:lang w:val="en-US"/>
        </w:rPr>
        <w:lastRenderedPageBreak/>
        <w:t>money may thus have a</w:t>
      </w:r>
      <w:r w:rsidR="005A0C0E" w:rsidRPr="00B624A8">
        <w:rPr>
          <w:lang w:val="en-US"/>
        </w:rPr>
        <w:t xml:space="preserve"> positive</w:t>
      </w:r>
      <w:r w:rsidR="000C6556" w:rsidRPr="005A0C0E">
        <w:rPr>
          <w:lang w:val="en-US"/>
        </w:rPr>
        <w:t xml:space="preserve"> impact </w:t>
      </w:r>
      <w:r w:rsidR="00800371" w:rsidRPr="005A0C0E">
        <w:rPr>
          <w:lang w:val="en-US"/>
        </w:rPr>
        <w:t>o</w:t>
      </w:r>
      <w:r w:rsidR="000C6556" w:rsidRPr="005A0C0E">
        <w:rPr>
          <w:lang w:val="en-US"/>
        </w:rPr>
        <w:t xml:space="preserve">n other persons’ lives. </w:t>
      </w:r>
      <w:r w:rsidR="005A0C0E" w:rsidRPr="00B624A8">
        <w:rPr>
          <w:lang w:val="en-US"/>
        </w:rPr>
        <w:t>Regardless</w:t>
      </w:r>
      <w:r w:rsidR="005A194B" w:rsidRPr="005A0C0E">
        <w:rPr>
          <w:lang w:val="en-US"/>
        </w:rPr>
        <w:t>,</w:t>
      </w:r>
      <w:r w:rsidR="000A2181" w:rsidRPr="005A0C0E">
        <w:rPr>
          <w:lang w:val="en-US"/>
        </w:rPr>
        <w:t xml:space="preserve"> the microfinance impact literature is </w:t>
      </w:r>
      <w:r w:rsidR="005A194B" w:rsidRPr="005A0C0E">
        <w:rPr>
          <w:lang w:val="en-US"/>
        </w:rPr>
        <w:t xml:space="preserve">certainly </w:t>
      </w:r>
      <w:r w:rsidR="000A2181" w:rsidRPr="005A0C0E">
        <w:rPr>
          <w:lang w:val="en-US"/>
        </w:rPr>
        <w:t>still in its infancy</w:t>
      </w:r>
      <w:r w:rsidR="005A194B" w:rsidRPr="005A0C0E">
        <w:rPr>
          <w:lang w:val="en-US"/>
        </w:rPr>
        <w:t>,</w:t>
      </w:r>
      <w:r w:rsidR="000A2181" w:rsidRPr="005A0C0E">
        <w:rPr>
          <w:lang w:val="en-US"/>
        </w:rPr>
        <w:t xml:space="preserve"> </w:t>
      </w:r>
      <w:r w:rsidR="001C1384" w:rsidRPr="005A0C0E">
        <w:rPr>
          <w:lang w:val="en-US"/>
        </w:rPr>
        <w:t xml:space="preserve">and it is important to turn to theory to understand why policy makers recommend the </w:t>
      </w:r>
      <w:r w:rsidR="005A194B" w:rsidRPr="005A0C0E">
        <w:rPr>
          <w:lang w:val="en-US"/>
        </w:rPr>
        <w:t>penetration</w:t>
      </w:r>
      <w:r w:rsidR="001C1384" w:rsidRPr="005A0C0E">
        <w:rPr>
          <w:lang w:val="en-US"/>
        </w:rPr>
        <w:t xml:space="preserve"> of microfinance and in particular the inclusion of </w:t>
      </w:r>
      <w:r w:rsidR="00B379D9" w:rsidRPr="005A0C0E">
        <w:rPr>
          <w:lang w:val="en-US"/>
        </w:rPr>
        <w:t>persons with disabilities</w:t>
      </w:r>
      <w:r w:rsidR="001C1384" w:rsidRPr="005A0C0E">
        <w:rPr>
          <w:lang w:val="en-US"/>
        </w:rPr>
        <w:t xml:space="preserve"> in microfinance efforts.</w:t>
      </w:r>
    </w:p>
    <w:p w:rsidR="00B30401" w:rsidRPr="005A0C0E" w:rsidRDefault="001C1384" w:rsidP="004E05EF">
      <w:pPr>
        <w:spacing w:line="480" w:lineRule="auto"/>
        <w:rPr>
          <w:lang w:val="en-US"/>
        </w:rPr>
      </w:pPr>
      <w:r w:rsidRPr="005A0C0E">
        <w:rPr>
          <w:lang w:val="en-US"/>
        </w:rPr>
        <w:t xml:space="preserve">The most </w:t>
      </w:r>
      <w:r w:rsidR="005A0C0E" w:rsidRPr="00B624A8">
        <w:rPr>
          <w:lang w:val="en-US"/>
        </w:rPr>
        <w:t>cited</w:t>
      </w:r>
      <w:r w:rsidR="005A0C0E" w:rsidRPr="005A0C0E">
        <w:rPr>
          <w:lang w:val="en-US"/>
        </w:rPr>
        <w:t xml:space="preserve"> </w:t>
      </w:r>
      <w:r w:rsidRPr="005A0C0E">
        <w:rPr>
          <w:lang w:val="en-US"/>
        </w:rPr>
        <w:t xml:space="preserve">theory to support </w:t>
      </w:r>
      <w:r w:rsidR="00E632A7" w:rsidRPr="005A0C0E">
        <w:rPr>
          <w:lang w:val="en-US"/>
        </w:rPr>
        <w:t xml:space="preserve">the necessity of </w:t>
      </w:r>
      <w:r w:rsidRPr="005A0C0E">
        <w:rPr>
          <w:lang w:val="en-US"/>
        </w:rPr>
        <w:t xml:space="preserve">making credit available for poor </w:t>
      </w:r>
      <w:r w:rsidR="005A0C0E" w:rsidRPr="00B624A8">
        <w:rPr>
          <w:lang w:val="en-US"/>
        </w:rPr>
        <w:t>persons</w:t>
      </w:r>
      <w:r w:rsidR="005A0C0E" w:rsidRPr="005A0C0E">
        <w:rPr>
          <w:lang w:val="en-US"/>
        </w:rPr>
        <w:t xml:space="preserve"> </w:t>
      </w:r>
      <w:r w:rsidRPr="005A0C0E">
        <w:rPr>
          <w:lang w:val="en-US"/>
        </w:rPr>
        <w:t>is found in the entrepreneurship literature</w:t>
      </w:r>
      <w:r w:rsidR="00E632A7" w:rsidRPr="005A0C0E">
        <w:rPr>
          <w:lang w:val="en-US"/>
        </w:rPr>
        <w:t>,</w:t>
      </w:r>
      <w:r w:rsidRPr="005A0C0E">
        <w:rPr>
          <w:lang w:val="en-US"/>
        </w:rPr>
        <w:t xml:space="preserve"> highlighting that access to credit is a </w:t>
      </w:r>
      <w:r w:rsidR="00E632A7" w:rsidRPr="005A0C0E">
        <w:rPr>
          <w:lang w:val="en-US"/>
        </w:rPr>
        <w:t xml:space="preserve">vital </w:t>
      </w:r>
      <w:r w:rsidRPr="005A0C0E">
        <w:rPr>
          <w:lang w:val="en-US"/>
        </w:rPr>
        <w:t xml:space="preserve">ingredient in enterprise development. For </w:t>
      </w:r>
      <w:r w:rsidR="00B379D9" w:rsidRPr="005A0C0E">
        <w:rPr>
          <w:lang w:val="en-US"/>
        </w:rPr>
        <w:t>persons with disabilities</w:t>
      </w:r>
      <w:r w:rsidR="000D7146" w:rsidRPr="005A0C0E">
        <w:rPr>
          <w:lang w:val="en-US"/>
        </w:rPr>
        <w:t>,</w:t>
      </w:r>
      <w:r w:rsidRPr="005A0C0E">
        <w:rPr>
          <w:lang w:val="en-US"/>
        </w:rPr>
        <w:t xml:space="preserve"> </w:t>
      </w:r>
      <w:r w:rsidR="005A0C0E" w:rsidRPr="00B624A8">
        <w:rPr>
          <w:lang w:val="en-US"/>
        </w:rPr>
        <w:t>access to credit</w:t>
      </w:r>
      <w:r w:rsidR="005A0C0E" w:rsidRPr="005A0C0E">
        <w:rPr>
          <w:lang w:val="en-US"/>
        </w:rPr>
        <w:t xml:space="preserve"> </w:t>
      </w:r>
      <w:r w:rsidRPr="005A0C0E">
        <w:rPr>
          <w:lang w:val="en-US"/>
        </w:rPr>
        <w:t xml:space="preserve">is of special importance </w:t>
      </w:r>
      <w:r w:rsidR="00FA1806" w:rsidRPr="005A0C0E">
        <w:rPr>
          <w:lang w:val="en-US"/>
        </w:rPr>
        <w:t xml:space="preserve">because </w:t>
      </w:r>
      <w:r w:rsidRPr="005A0C0E">
        <w:rPr>
          <w:lang w:val="en-US"/>
        </w:rPr>
        <w:t xml:space="preserve">employers </w:t>
      </w:r>
      <w:r w:rsidR="00B30401" w:rsidRPr="005A0C0E">
        <w:rPr>
          <w:lang w:val="en-US"/>
        </w:rPr>
        <w:t>normally</w:t>
      </w:r>
      <w:r w:rsidRPr="005A0C0E">
        <w:rPr>
          <w:lang w:val="en-US"/>
        </w:rPr>
        <w:t xml:space="preserve"> </w:t>
      </w:r>
      <w:r w:rsidR="00E632A7" w:rsidRPr="005A0C0E">
        <w:rPr>
          <w:lang w:val="en-US"/>
        </w:rPr>
        <w:t xml:space="preserve">resist </w:t>
      </w:r>
      <w:r w:rsidRPr="005A0C0E">
        <w:rPr>
          <w:lang w:val="en-US"/>
        </w:rPr>
        <w:t>hiri</w:t>
      </w:r>
      <w:r w:rsidR="00B379D9" w:rsidRPr="005A0C0E">
        <w:rPr>
          <w:lang w:val="en-US"/>
        </w:rPr>
        <w:t>ng disabled personnel. Thus, persons with disabilities</w:t>
      </w:r>
      <w:r w:rsidRPr="005A0C0E">
        <w:rPr>
          <w:lang w:val="en-US"/>
        </w:rPr>
        <w:t xml:space="preserve"> need access to credit to develop their </w:t>
      </w:r>
      <w:r w:rsidR="00FF543F" w:rsidRPr="005A0C0E">
        <w:rPr>
          <w:lang w:val="en-US"/>
        </w:rPr>
        <w:t>entrepreneurial</w:t>
      </w:r>
      <w:r w:rsidRPr="005A0C0E">
        <w:rPr>
          <w:lang w:val="en-US"/>
        </w:rPr>
        <w:t xml:space="preserve"> activities. </w:t>
      </w:r>
      <w:r w:rsidR="00E632A7" w:rsidRPr="005A0C0E">
        <w:rPr>
          <w:lang w:val="en-US"/>
        </w:rPr>
        <w:t xml:space="preserve">In general, </w:t>
      </w:r>
      <w:r w:rsidRPr="005A0C0E">
        <w:rPr>
          <w:lang w:val="en-US"/>
        </w:rPr>
        <w:t xml:space="preserve">this </w:t>
      </w:r>
      <w:r w:rsidR="00E632A7" w:rsidRPr="005A0C0E">
        <w:rPr>
          <w:lang w:val="en-US"/>
        </w:rPr>
        <w:t>starting point</w:t>
      </w:r>
      <w:r w:rsidR="007B6944" w:rsidRPr="005A0C0E">
        <w:rPr>
          <w:lang w:val="en-US"/>
        </w:rPr>
        <w:t xml:space="preserve"> is not dispute</w:t>
      </w:r>
      <w:r w:rsidR="00B410F7" w:rsidRPr="005A0C0E">
        <w:rPr>
          <w:lang w:val="en-US"/>
        </w:rPr>
        <w:t>d</w:t>
      </w:r>
      <w:r w:rsidRPr="005A0C0E">
        <w:rPr>
          <w:lang w:val="en-US"/>
        </w:rPr>
        <w:t xml:space="preserve">. However, financial capital alone </w:t>
      </w:r>
      <w:r w:rsidR="00E632A7" w:rsidRPr="005A0C0E">
        <w:rPr>
          <w:lang w:val="en-US"/>
        </w:rPr>
        <w:t xml:space="preserve">does not </w:t>
      </w:r>
      <w:r w:rsidRPr="005A0C0E">
        <w:rPr>
          <w:lang w:val="en-US"/>
        </w:rPr>
        <w:t xml:space="preserve">secure success in the market place. Other </w:t>
      </w:r>
      <w:r w:rsidR="00E632A7" w:rsidRPr="005A0C0E">
        <w:rPr>
          <w:lang w:val="en-US"/>
        </w:rPr>
        <w:t>resources</w:t>
      </w:r>
      <w:r w:rsidRPr="005A0C0E">
        <w:rPr>
          <w:lang w:val="en-US"/>
        </w:rPr>
        <w:t xml:space="preserve">, </w:t>
      </w:r>
      <w:r w:rsidR="00E45B56" w:rsidRPr="005A0C0E">
        <w:rPr>
          <w:lang w:val="en-US"/>
        </w:rPr>
        <w:t xml:space="preserve">for instance </w:t>
      </w:r>
      <w:r w:rsidRPr="005A0C0E">
        <w:rPr>
          <w:lang w:val="en-US"/>
        </w:rPr>
        <w:t>human capital (knowledge, skills, attitude</w:t>
      </w:r>
      <w:r w:rsidR="00B410F7" w:rsidRPr="005A0C0E">
        <w:rPr>
          <w:lang w:val="en-US"/>
        </w:rPr>
        <w:t>,</w:t>
      </w:r>
      <w:r w:rsidRPr="005A0C0E">
        <w:rPr>
          <w:lang w:val="en-US"/>
        </w:rPr>
        <w:t xml:space="preserve"> etc.)</w:t>
      </w:r>
      <w:r w:rsidR="00B30401" w:rsidRPr="005A0C0E">
        <w:rPr>
          <w:lang w:val="en-US"/>
        </w:rPr>
        <w:t xml:space="preserve"> as well as social capital (networks</w:t>
      </w:r>
      <w:r w:rsidR="005A0C0E" w:rsidRPr="00B624A8">
        <w:rPr>
          <w:lang w:val="en-US"/>
        </w:rPr>
        <w:t>,</w:t>
      </w:r>
      <w:r w:rsidR="00B30401" w:rsidRPr="005A0C0E">
        <w:rPr>
          <w:lang w:val="en-US"/>
        </w:rPr>
        <w:t xml:space="preserve"> etc.)</w:t>
      </w:r>
      <w:r w:rsidR="00B410F7" w:rsidRPr="005A0C0E">
        <w:rPr>
          <w:lang w:val="en-US"/>
        </w:rPr>
        <w:t>,</w:t>
      </w:r>
      <w:r w:rsidR="00B30401" w:rsidRPr="005A0C0E">
        <w:rPr>
          <w:lang w:val="en-US"/>
        </w:rPr>
        <w:t xml:space="preserve"> can be </w:t>
      </w:r>
      <w:r w:rsidR="00E45B56" w:rsidRPr="005A0C0E">
        <w:rPr>
          <w:lang w:val="en-US"/>
        </w:rPr>
        <w:t xml:space="preserve">equally </w:t>
      </w:r>
      <w:r w:rsidR="007B4C35" w:rsidRPr="005A0C0E">
        <w:rPr>
          <w:lang w:val="en-US"/>
        </w:rPr>
        <w:t xml:space="preserve">or even more </w:t>
      </w:r>
      <w:r w:rsidR="00B30401" w:rsidRPr="005A0C0E">
        <w:rPr>
          <w:lang w:val="en-US"/>
        </w:rPr>
        <w:t xml:space="preserve">important than access to financial capital </w:t>
      </w:r>
      <w:r w:rsidR="005A0C0E" w:rsidRPr="00B624A8">
        <w:rPr>
          <w:lang w:val="en-US"/>
        </w:rPr>
        <w:t>in regard to</w:t>
      </w:r>
      <w:r w:rsidR="00B30401" w:rsidRPr="005A0C0E">
        <w:rPr>
          <w:lang w:val="en-US"/>
        </w:rPr>
        <w:t xml:space="preserve"> succeeding in a business venture. It is the combination of the different </w:t>
      </w:r>
      <w:r w:rsidR="002027A9" w:rsidRPr="005A0C0E">
        <w:rPr>
          <w:lang w:val="en-US"/>
        </w:rPr>
        <w:t xml:space="preserve">types of </w:t>
      </w:r>
      <w:r w:rsidR="00B30401" w:rsidRPr="005A0C0E">
        <w:rPr>
          <w:lang w:val="en-US"/>
        </w:rPr>
        <w:t xml:space="preserve">capital together with access to customers that </w:t>
      </w:r>
      <w:r w:rsidR="00742AE7" w:rsidRPr="005A0C0E">
        <w:rPr>
          <w:lang w:val="en-US"/>
        </w:rPr>
        <w:t>determines</w:t>
      </w:r>
      <w:r w:rsidR="00B30401" w:rsidRPr="005A0C0E">
        <w:rPr>
          <w:lang w:val="en-US"/>
        </w:rPr>
        <w:t xml:space="preserve"> whether a </w:t>
      </w:r>
      <w:r w:rsidR="00C3110E" w:rsidRPr="005A0C0E">
        <w:rPr>
          <w:lang w:val="en-US"/>
        </w:rPr>
        <w:t xml:space="preserve">person succeeds with a </w:t>
      </w:r>
      <w:r w:rsidR="00B30401" w:rsidRPr="005A0C0E">
        <w:rPr>
          <w:lang w:val="en-US"/>
        </w:rPr>
        <w:t xml:space="preserve">business activity. Therefore, when </w:t>
      </w:r>
      <w:r w:rsidR="00742AE7" w:rsidRPr="005A0C0E">
        <w:rPr>
          <w:lang w:val="en-US"/>
        </w:rPr>
        <w:t xml:space="preserve">we </w:t>
      </w:r>
      <w:r w:rsidR="00B30401" w:rsidRPr="005A0C0E">
        <w:rPr>
          <w:lang w:val="en-US"/>
        </w:rPr>
        <w:t>lay</w:t>
      </w:r>
      <w:r w:rsidRPr="005A0C0E">
        <w:rPr>
          <w:lang w:val="en-US"/>
        </w:rPr>
        <w:t xml:space="preserve"> </w:t>
      </w:r>
      <w:r w:rsidR="00B30401" w:rsidRPr="005A0C0E">
        <w:rPr>
          <w:lang w:val="en-US"/>
        </w:rPr>
        <w:t xml:space="preserve">out knowledge related to microfinance </w:t>
      </w:r>
      <w:r w:rsidR="00E632A7" w:rsidRPr="005A0C0E">
        <w:rPr>
          <w:lang w:val="en-US"/>
        </w:rPr>
        <w:t xml:space="preserve">and </w:t>
      </w:r>
      <w:r w:rsidR="00B30401" w:rsidRPr="005A0C0E">
        <w:rPr>
          <w:lang w:val="en-US"/>
        </w:rPr>
        <w:t>disability</w:t>
      </w:r>
      <w:r w:rsidR="00742AE7" w:rsidRPr="005A0C0E">
        <w:rPr>
          <w:lang w:val="en-US"/>
        </w:rPr>
        <w:t xml:space="preserve"> in this chapter</w:t>
      </w:r>
      <w:r w:rsidR="00B30401" w:rsidRPr="005A0C0E">
        <w:rPr>
          <w:lang w:val="en-US"/>
        </w:rPr>
        <w:t xml:space="preserve">, we want to </w:t>
      </w:r>
      <w:r w:rsidR="00742AE7" w:rsidRPr="005A0C0E">
        <w:rPr>
          <w:lang w:val="en-US"/>
        </w:rPr>
        <w:t xml:space="preserve">emphasize </w:t>
      </w:r>
      <w:r w:rsidR="00B30401" w:rsidRPr="005A0C0E">
        <w:rPr>
          <w:lang w:val="en-US"/>
        </w:rPr>
        <w:t xml:space="preserve">from the </w:t>
      </w:r>
      <w:r w:rsidR="005A0C0E" w:rsidRPr="00B624A8">
        <w:rPr>
          <w:lang w:val="en-US"/>
        </w:rPr>
        <w:t>outset</w:t>
      </w:r>
      <w:r w:rsidR="005A0C0E" w:rsidRPr="005A0C0E">
        <w:rPr>
          <w:lang w:val="en-US"/>
        </w:rPr>
        <w:t xml:space="preserve"> </w:t>
      </w:r>
      <w:r w:rsidR="00B30401" w:rsidRPr="005A0C0E">
        <w:rPr>
          <w:lang w:val="en-US"/>
        </w:rPr>
        <w:t xml:space="preserve">that </w:t>
      </w:r>
      <w:r w:rsidR="003A450B" w:rsidRPr="005A0C0E">
        <w:rPr>
          <w:lang w:val="en-US"/>
        </w:rPr>
        <w:t>ens</w:t>
      </w:r>
      <w:r w:rsidR="00C3110E" w:rsidRPr="005A0C0E">
        <w:rPr>
          <w:lang w:val="en-US"/>
        </w:rPr>
        <w:t xml:space="preserve">uring </w:t>
      </w:r>
      <w:r w:rsidR="00B30401" w:rsidRPr="005A0C0E">
        <w:rPr>
          <w:lang w:val="en-US"/>
        </w:rPr>
        <w:t xml:space="preserve">access to </w:t>
      </w:r>
      <w:r w:rsidR="00C3110E" w:rsidRPr="005A0C0E">
        <w:rPr>
          <w:lang w:val="en-US"/>
        </w:rPr>
        <w:t xml:space="preserve">financial </w:t>
      </w:r>
      <w:r w:rsidR="00B30401" w:rsidRPr="005A0C0E">
        <w:rPr>
          <w:lang w:val="en-US"/>
        </w:rPr>
        <w:t>capital</w:t>
      </w:r>
      <w:r w:rsidR="00C3110E" w:rsidRPr="005A0C0E">
        <w:rPr>
          <w:lang w:val="en-US"/>
        </w:rPr>
        <w:t xml:space="preserve"> </w:t>
      </w:r>
      <w:r w:rsidR="007B6944" w:rsidRPr="005A0C0E">
        <w:rPr>
          <w:lang w:val="en-US"/>
        </w:rPr>
        <w:t xml:space="preserve">by itself </w:t>
      </w:r>
      <w:r w:rsidR="00C3110E" w:rsidRPr="005A0C0E">
        <w:rPr>
          <w:lang w:val="en-US"/>
        </w:rPr>
        <w:t>may not necessarily benefit</w:t>
      </w:r>
      <w:r w:rsidR="00B30401" w:rsidRPr="005A0C0E">
        <w:rPr>
          <w:lang w:val="en-US"/>
        </w:rPr>
        <w:t xml:space="preserve"> </w:t>
      </w:r>
      <w:r w:rsidR="00B379D9" w:rsidRPr="005A0C0E">
        <w:rPr>
          <w:lang w:val="en-US"/>
        </w:rPr>
        <w:t>persons with disabilities</w:t>
      </w:r>
      <w:r w:rsidR="00B30401" w:rsidRPr="005A0C0E">
        <w:rPr>
          <w:lang w:val="en-US"/>
        </w:rPr>
        <w:t>.</w:t>
      </w:r>
    </w:p>
    <w:p w:rsidR="00A67E92" w:rsidRPr="005A0C0E" w:rsidRDefault="00B30401" w:rsidP="004E05EF">
      <w:pPr>
        <w:spacing w:line="480" w:lineRule="auto"/>
        <w:rPr>
          <w:lang w:val="en-US"/>
        </w:rPr>
      </w:pPr>
      <w:r w:rsidRPr="005A0C0E">
        <w:rPr>
          <w:lang w:val="en-US"/>
        </w:rPr>
        <w:t xml:space="preserve">A second point we want to </w:t>
      </w:r>
      <w:r w:rsidR="00C21AF7" w:rsidRPr="005A0C0E">
        <w:rPr>
          <w:lang w:val="en-US"/>
        </w:rPr>
        <w:t xml:space="preserve">emphasize </w:t>
      </w:r>
      <w:r w:rsidR="005A0C0E" w:rsidRPr="00B624A8">
        <w:rPr>
          <w:lang w:val="en-US"/>
        </w:rPr>
        <w:t>at this point</w:t>
      </w:r>
      <w:r w:rsidRPr="005A0C0E">
        <w:rPr>
          <w:lang w:val="en-US"/>
        </w:rPr>
        <w:t xml:space="preserve"> is that there are </w:t>
      </w:r>
      <w:r w:rsidR="00296577" w:rsidRPr="005A0C0E">
        <w:rPr>
          <w:lang w:val="en-US"/>
        </w:rPr>
        <w:t>several other</w:t>
      </w:r>
      <w:r w:rsidRPr="005A0C0E">
        <w:rPr>
          <w:lang w:val="en-US"/>
        </w:rPr>
        <w:t xml:space="preserve"> theories supporting the </w:t>
      </w:r>
      <w:r w:rsidR="005A0C0E" w:rsidRPr="00B624A8">
        <w:rPr>
          <w:lang w:val="en-US"/>
        </w:rPr>
        <w:t>promotion</w:t>
      </w:r>
      <w:r w:rsidR="005A0C0E" w:rsidRPr="005A0C0E">
        <w:rPr>
          <w:lang w:val="en-US"/>
        </w:rPr>
        <w:t xml:space="preserve"> </w:t>
      </w:r>
      <w:r w:rsidRPr="005A0C0E">
        <w:rPr>
          <w:lang w:val="en-US"/>
        </w:rPr>
        <w:t>of microfinance</w:t>
      </w:r>
      <w:r w:rsidR="00C21AF7" w:rsidRPr="005A0C0E">
        <w:rPr>
          <w:lang w:val="en-US"/>
        </w:rPr>
        <w:t>; however,</w:t>
      </w:r>
      <w:r w:rsidRPr="005A0C0E">
        <w:rPr>
          <w:lang w:val="en-US"/>
        </w:rPr>
        <w:t xml:space="preserve"> </w:t>
      </w:r>
      <w:r w:rsidR="00296577" w:rsidRPr="005A0C0E">
        <w:rPr>
          <w:lang w:val="en-US"/>
        </w:rPr>
        <w:t>t</w:t>
      </w:r>
      <w:r w:rsidRPr="005A0C0E">
        <w:rPr>
          <w:lang w:val="en-US"/>
        </w:rPr>
        <w:t xml:space="preserve">hese theories </w:t>
      </w:r>
      <w:r w:rsidR="00296577" w:rsidRPr="005A0C0E">
        <w:rPr>
          <w:lang w:val="en-US"/>
        </w:rPr>
        <w:t xml:space="preserve">often </w:t>
      </w:r>
      <w:r w:rsidR="00E45B56" w:rsidRPr="005A0C0E">
        <w:rPr>
          <w:lang w:val="en-US"/>
        </w:rPr>
        <w:t xml:space="preserve">tend to </w:t>
      </w:r>
      <w:r w:rsidR="00C21AF7" w:rsidRPr="005A0C0E">
        <w:rPr>
          <w:lang w:val="en-US"/>
        </w:rPr>
        <w:t>favor</w:t>
      </w:r>
      <w:r w:rsidR="00296577" w:rsidRPr="005A0C0E">
        <w:rPr>
          <w:lang w:val="en-US"/>
        </w:rPr>
        <w:t xml:space="preserve"> savings (and insurance) over credit. The theory most relevant for </w:t>
      </w:r>
      <w:r w:rsidR="00B379D9" w:rsidRPr="005A0C0E">
        <w:rPr>
          <w:lang w:val="en-US"/>
        </w:rPr>
        <w:t>persons with disabilities</w:t>
      </w:r>
      <w:r w:rsidR="00296577" w:rsidRPr="005A0C0E">
        <w:rPr>
          <w:lang w:val="en-US"/>
        </w:rPr>
        <w:t xml:space="preserve"> is the “consumption smoot</w:t>
      </w:r>
      <w:r w:rsidR="00064539" w:rsidRPr="005A0C0E">
        <w:rPr>
          <w:lang w:val="en-US"/>
        </w:rPr>
        <w:t>h</w:t>
      </w:r>
      <w:r w:rsidR="00296577" w:rsidRPr="005A0C0E">
        <w:rPr>
          <w:lang w:val="en-US"/>
        </w:rPr>
        <w:t xml:space="preserve">ing theory”. </w:t>
      </w:r>
      <w:r w:rsidR="005A0C0E" w:rsidRPr="00B624A8">
        <w:rPr>
          <w:lang w:val="en-US"/>
        </w:rPr>
        <w:t>A great deal of</w:t>
      </w:r>
      <w:r w:rsidR="00296577" w:rsidRPr="005A0C0E">
        <w:rPr>
          <w:lang w:val="en-US"/>
        </w:rPr>
        <w:t xml:space="preserve"> variation in incomes and expenses is part of the poverty trap. On a daily basis</w:t>
      </w:r>
      <w:r w:rsidR="00D87AA8" w:rsidRPr="005A0C0E">
        <w:rPr>
          <w:lang w:val="en-US"/>
        </w:rPr>
        <w:t>,</w:t>
      </w:r>
      <w:r w:rsidR="00296577" w:rsidRPr="005A0C0E">
        <w:rPr>
          <w:lang w:val="en-US"/>
        </w:rPr>
        <w:t xml:space="preserve"> poor people </w:t>
      </w:r>
      <w:r w:rsidR="005A0C0E" w:rsidRPr="00B624A8">
        <w:rPr>
          <w:lang w:val="en-US"/>
        </w:rPr>
        <w:t>must come up against</w:t>
      </w:r>
      <w:r w:rsidR="00296577" w:rsidRPr="005A0C0E">
        <w:rPr>
          <w:lang w:val="en-US"/>
        </w:rPr>
        <w:t xml:space="preserve"> uneven incomes and expenses. One day the</w:t>
      </w:r>
      <w:r w:rsidR="00F17F95" w:rsidRPr="005A0C0E">
        <w:rPr>
          <w:lang w:val="en-US"/>
        </w:rPr>
        <w:t>se people</w:t>
      </w:r>
      <w:r w:rsidR="00296577" w:rsidRPr="005A0C0E">
        <w:rPr>
          <w:lang w:val="en-US"/>
        </w:rPr>
        <w:t xml:space="preserve"> might have to pay medical expenses worth 200 while at the same time only having an income of 20, </w:t>
      </w:r>
      <w:r w:rsidR="005A0C0E" w:rsidRPr="005A0C0E">
        <w:rPr>
          <w:lang w:val="en-US"/>
        </w:rPr>
        <w:t>wh</w:t>
      </w:r>
      <w:r w:rsidR="005A0C0E" w:rsidRPr="00B624A8">
        <w:rPr>
          <w:lang w:val="en-US"/>
        </w:rPr>
        <w:t>ereas on</w:t>
      </w:r>
      <w:r w:rsidR="005A0C0E" w:rsidRPr="005A0C0E">
        <w:rPr>
          <w:lang w:val="en-US"/>
        </w:rPr>
        <w:t xml:space="preserve"> </w:t>
      </w:r>
      <w:r w:rsidR="00296577" w:rsidRPr="005A0C0E">
        <w:rPr>
          <w:lang w:val="en-US"/>
        </w:rPr>
        <w:t>another day</w:t>
      </w:r>
      <w:r w:rsidR="008C17BC">
        <w:rPr>
          <w:lang w:val="en-US"/>
        </w:rPr>
        <w:t>,</w:t>
      </w:r>
      <w:r w:rsidR="00296577" w:rsidRPr="005A0C0E">
        <w:rPr>
          <w:lang w:val="en-US"/>
        </w:rPr>
        <w:t xml:space="preserve"> their expenses might be 10 only </w:t>
      </w:r>
      <w:r w:rsidR="005A0C0E" w:rsidRPr="00B624A8">
        <w:rPr>
          <w:lang w:val="en-US"/>
        </w:rPr>
        <w:t>and</w:t>
      </w:r>
      <w:r w:rsidR="005A0C0E" w:rsidRPr="005A0C0E">
        <w:rPr>
          <w:lang w:val="en-US"/>
        </w:rPr>
        <w:t xml:space="preserve"> </w:t>
      </w:r>
      <w:r w:rsidR="00296577" w:rsidRPr="005A0C0E">
        <w:rPr>
          <w:lang w:val="en-US"/>
        </w:rPr>
        <w:t>thei</w:t>
      </w:r>
      <w:r w:rsidR="00801F8D" w:rsidRPr="005A0C0E">
        <w:rPr>
          <w:lang w:val="en-US"/>
        </w:rPr>
        <w:t xml:space="preserve">r income </w:t>
      </w:r>
      <w:r w:rsidR="005A0C0E" w:rsidRPr="00B624A8">
        <w:rPr>
          <w:lang w:val="en-US"/>
        </w:rPr>
        <w:t>may</w:t>
      </w:r>
      <w:r w:rsidR="005A0C0E" w:rsidRPr="005A0C0E">
        <w:rPr>
          <w:lang w:val="en-US"/>
        </w:rPr>
        <w:t xml:space="preserve"> </w:t>
      </w:r>
      <w:r w:rsidR="00801F8D" w:rsidRPr="005A0C0E">
        <w:rPr>
          <w:lang w:val="en-US"/>
        </w:rPr>
        <w:t xml:space="preserve">be 100. Collins et al. </w:t>
      </w:r>
      <w:r w:rsidR="00801F8D" w:rsidRPr="005A0C0E">
        <w:rPr>
          <w:lang w:val="en-US"/>
        </w:rPr>
        <w:lastRenderedPageBreak/>
        <w:t>(2009) explain in detail how</w:t>
      </w:r>
      <w:r w:rsidR="00A67E92" w:rsidRPr="005A0C0E">
        <w:rPr>
          <w:lang w:val="en-US"/>
        </w:rPr>
        <w:t xml:space="preserve"> </w:t>
      </w:r>
      <w:r w:rsidR="005A0C0E" w:rsidRPr="00B624A8">
        <w:rPr>
          <w:lang w:val="en-US"/>
        </w:rPr>
        <w:t>one</w:t>
      </w:r>
      <w:r w:rsidR="005A0C0E" w:rsidRPr="005A0C0E">
        <w:rPr>
          <w:lang w:val="en-US"/>
        </w:rPr>
        <w:t xml:space="preserve"> </w:t>
      </w:r>
      <w:r w:rsidR="005A0C0E" w:rsidRPr="00B624A8">
        <w:rPr>
          <w:lang w:val="en-US"/>
        </w:rPr>
        <w:t>primary</w:t>
      </w:r>
      <w:r w:rsidR="005A0C0E" w:rsidRPr="005A0C0E">
        <w:rPr>
          <w:lang w:val="en-US"/>
        </w:rPr>
        <w:t xml:space="preserve"> </w:t>
      </w:r>
      <w:r w:rsidR="00A67E92" w:rsidRPr="005A0C0E">
        <w:rPr>
          <w:lang w:val="en-US"/>
        </w:rPr>
        <w:t>problem of being poor is</w:t>
      </w:r>
      <w:r w:rsidR="005A0C0E" w:rsidRPr="00B624A8">
        <w:rPr>
          <w:lang w:val="en-US"/>
        </w:rPr>
        <w:t xml:space="preserve"> figuring out how</w:t>
      </w:r>
      <w:r w:rsidR="00A67E92" w:rsidRPr="005A0C0E">
        <w:rPr>
          <w:lang w:val="en-US"/>
        </w:rPr>
        <w:t xml:space="preserve"> to match the uneven income and expense streams and how poor people save, both in cash and in kinds (for example animals), to </w:t>
      </w:r>
      <w:r w:rsidR="005A0C0E" w:rsidRPr="00B624A8">
        <w:rPr>
          <w:lang w:val="en-US"/>
        </w:rPr>
        <w:t>evenly distribute</w:t>
      </w:r>
      <w:r w:rsidR="005A0C0E" w:rsidRPr="005A0C0E">
        <w:rPr>
          <w:lang w:val="en-US"/>
        </w:rPr>
        <w:t xml:space="preserve"> </w:t>
      </w:r>
      <w:r w:rsidR="00A67E92" w:rsidRPr="005A0C0E">
        <w:rPr>
          <w:lang w:val="en-US"/>
        </w:rPr>
        <w:t xml:space="preserve">their daily consumption. Thus, </w:t>
      </w:r>
      <w:r w:rsidR="00504716" w:rsidRPr="005A0C0E">
        <w:rPr>
          <w:lang w:val="en-US"/>
        </w:rPr>
        <w:t>when</w:t>
      </w:r>
      <w:r w:rsidR="005E096A" w:rsidRPr="005A0C0E">
        <w:rPr>
          <w:lang w:val="en-US"/>
        </w:rPr>
        <w:t xml:space="preserve"> discussing</w:t>
      </w:r>
      <w:r w:rsidR="00A67E92" w:rsidRPr="005A0C0E">
        <w:rPr>
          <w:lang w:val="en-US"/>
        </w:rPr>
        <w:t xml:space="preserve"> microfinance and disability</w:t>
      </w:r>
      <w:r w:rsidR="005E096A" w:rsidRPr="005A0C0E">
        <w:rPr>
          <w:lang w:val="en-US"/>
        </w:rPr>
        <w:t>,</w:t>
      </w:r>
      <w:r w:rsidR="00A67E92" w:rsidRPr="005A0C0E">
        <w:rPr>
          <w:lang w:val="en-US"/>
        </w:rPr>
        <w:t xml:space="preserve"> we cannot </w:t>
      </w:r>
      <w:r w:rsidR="00F17F95" w:rsidRPr="005A0C0E">
        <w:rPr>
          <w:lang w:val="en-US"/>
        </w:rPr>
        <w:t xml:space="preserve">emphasize </w:t>
      </w:r>
      <w:r w:rsidR="00A67E92" w:rsidRPr="005A0C0E">
        <w:rPr>
          <w:lang w:val="en-US"/>
        </w:rPr>
        <w:t>enough that</w:t>
      </w:r>
      <w:r w:rsidR="00F17F95" w:rsidRPr="005A0C0E">
        <w:rPr>
          <w:lang w:val="en-US"/>
        </w:rPr>
        <w:t xml:space="preserve"> the</w:t>
      </w:r>
      <w:r w:rsidR="00A67E92" w:rsidRPr="005A0C0E">
        <w:rPr>
          <w:lang w:val="en-US"/>
        </w:rPr>
        <w:t xml:space="preserve"> focus should include savings and not credit</w:t>
      </w:r>
      <w:r w:rsidR="005A0C0E" w:rsidRPr="00B624A8">
        <w:rPr>
          <w:lang w:val="en-US"/>
        </w:rPr>
        <w:t xml:space="preserve"> </w:t>
      </w:r>
      <w:r w:rsidR="005A0C0E" w:rsidRPr="005A0C0E">
        <w:rPr>
          <w:lang w:val="en-US"/>
        </w:rPr>
        <w:t>only</w:t>
      </w:r>
      <w:r w:rsidR="00A67E92" w:rsidRPr="005A0C0E">
        <w:rPr>
          <w:lang w:val="en-US"/>
        </w:rPr>
        <w:t xml:space="preserve">. </w:t>
      </w:r>
    </w:p>
    <w:p w:rsidR="00320747" w:rsidRPr="005A0C0E" w:rsidRDefault="005E096A" w:rsidP="004E05EF">
      <w:pPr>
        <w:spacing w:line="480" w:lineRule="auto"/>
        <w:rPr>
          <w:lang w:val="en-US"/>
        </w:rPr>
      </w:pPr>
      <w:r w:rsidRPr="005A0C0E">
        <w:rPr>
          <w:lang w:val="en-US"/>
        </w:rPr>
        <w:t xml:space="preserve">The purpose of this chapter is to focus on how </w:t>
      </w:r>
      <w:r w:rsidR="00B16AC8" w:rsidRPr="005A0C0E">
        <w:rPr>
          <w:lang w:val="en-US"/>
        </w:rPr>
        <w:t>the</w:t>
      </w:r>
      <w:r w:rsidRPr="005A0C0E">
        <w:rPr>
          <w:lang w:val="en-US"/>
        </w:rPr>
        <w:t xml:space="preserve"> use of microfinance schemes</w:t>
      </w:r>
      <w:r w:rsidR="00B16AC8" w:rsidRPr="005A0C0E">
        <w:rPr>
          <w:lang w:val="en-US"/>
        </w:rPr>
        <w:t xml:space="preserve"> by persons with disabilities</w:t>
      </w:r>
      <w:r w:rsidRPr="005A0C0E">
        <w:rPr>
          <w:lang w:val="en-US"/>
        </w:rPr>
        <w:t xml:space="preserve"> relate</w:t>
      </w:r>
      <w:r w:rsidR="00FA2BAF" w:rsidRPr="005A0C0E">
        <w:rPr>
          <w:lang w:val="en-US"/>
        </w:rPr>
        <w:t>s</w:t>
      </w:r>
      <w:r w:rsidRPr="005A0C0E">
        <w:rPr>
          <w:lang w:val="en-US"/>
        </w:rPr>
        <w:t xml:space="preserve"> to, and possibly improve</w:t>
      </w:r>
      <w:r w:rsidR="00FA2BAF" w:rsidRPr="005A0C0E">
        <w:rPr>
          <w:lang w:val="en-US"/>
        </w:rPr>
        <w:t>s</w:t>
      </w:r>
      <w:r w:rsidRPr="005A0C0E">
        <w:rPr>
          <w:lang w:val="en-US"/>
        </w:rPr>
        <w:t>, employment rates and economic activities. We seek to describe</w:t>
      </w:r>
      <w:r w:rsidR="001D710A" w:rsidRPr="005A0C0E">
        <w:rPr>
          <w:lang w:val="en-US"/>
        </w:rPr>
        <w:t xml:space="preserve"> existing</w:t>
      </w:r>
      <w:r w:rsidRPr="005A0C0E">
        <w:rPr>
          <w:lang w:val="en-US"/>
        </w:rPr>
        <w:t xml:space="preserve"> knowledge, lessons learned, limitations, challenges, and future potential. Unfortunately,</w:t>
      </w:r>
      <w:r w:rsidR="00A67E92" w:rsidRPr="005A0C0E">
        <w:rPr>
          <w:lang w:val="en-US"/>
        </w:rPr>
        <w:t xml:space="preserve"> </w:t>
      </w:r>
      <w:r w:rsidR="005A0C0E" w:rsidRPr="005A0C0E">
        <w:rPr>
          <w:lang w:val="en-US"/>
        </w:rPr>
        <w:t>th</w:t>
      </w:r>
      <w:r w:rsidR="005A0C0E" w:rsidRPr="00B624A8">
        <w:rPr>
          <w:lang w:val="en-US"/>
        </w:rPr>
        <w:t>ese categories are</w:t>
      </w:r>
      <w:r w:rsidR="00A67E92" w:rsidRPr="005A0C0E">
        <w:rPr>
          <w:lang w:val="en-US"/>
        </w:rPr>
        <w:t xml:space="preserve"> not </w:t>
      </w:r>
      <w:r w:rsidR="005A0C0E" w:rsidRPr="005A0C0E">
        <w:rPr>
          <w:lang w:val="en-US"/>
        </w:rPr>
        <w:t>ea</w:t>
      </w:r>
      <w:r w:rsidR="005A0C0E" w:rsidRPr="00B624A8">
        <w:rPr>
          <w:lang w:val="en-US"/>
        </w:rPr>
        <w:t>sil</w:t>
      </w:r>
      <w:r w:rsidR="005A0C0E" w:rsidRPr="005A0C0E">
        <w:rPr>
          <w:lang w:val="en-US"/>
        </w:rPr>
        <w:t xml:space="preserve">y </w:t>
      </w:r>
      <w:r w:rsidR="005A0C0E" w:rsidRPr="00B624A8">
        <w:rPr>
          <w:lang w:val="en-US"/>
        </w:rPr>
        <w:t>explained due to</w:t>
      </w:r>
      <w:r w:rsidR="00A67E92" w:rsidRPr="005A0C0E">
        <w:rPr>
          <w:lang w:val="en-US"/>
        </w:rPr>
        <w:t xml:space="preserve"> </w:t>
      </w:r>
      <w:r w:rsidR="005A0C0E" w:rsidRPr="00B624A8">
        <w:rPr>
          <w:lang w:val="en-US"/>
        </w:rPr>
        <w:t>the current paucity</w:t>
      </w:r>
      <w:r w:rsidR="00A67E92" w:rsidRPr="005A0C0E">
        <w:rPr>
          <w:lang w:val="en-US"/>
        </w:rPr>
        <w:t xml:space="preserve"> of relevant literature. </w:t>
      </w:r>
      <w:r w:rsidR="00561913" w:rsidRPr="005A0C0E">
        <w:rPr>
          <w:lang w:val="en-US"/>
        </w:rPr>
        <w:t xml:space="preserve">One reason that the literature on microfinance and disability is scarce is that it is difficult to </w:t>
      </w:r>
      <w:r w:rsidR="003365E9" w:rsidRPr="005A0C0E">
        <w:rPr>
          <w:lang w:val="en-US"/>
        </w:rPr>
        <w:t>obtain</w:t>
      </w:r>
      <w:r w:rsidR="00561913" w:rsidRPr="005A0C0E">
        <w:rPr>
          <w:lang w:val="en-US"/>
        </w:rPr>
        <w:t xml:space="preserve"> access to data </w:t>
      </w:r>
      <w:r w:rsidR="003365E9" w:rsidRPr="005A0C0E">
        <w:rPr>
          <w:lang w:val="en-US"/>
        </w:rPr>
        <w:t>that</w:t>
      </w:r>
      <w:r w:rsidR="00561913" w:rsidRPr="005A0C0E">
        <w:rPr>
          <w:lang w:val="en-US"/>
        </w:rPr>
        <w:t xml:space="preserve"> facilitate rigorous academic research. </w:t>
      </w:r>
      <w:r w:rsidR="00576689" w:rsidRPr="005A0C0E">
        <w:rPr>
          <w:lang w:val="en-US"/>
        </w:rPr>
        <w:t xml:space="preserve"> First, researchers are faced </w:t>
      </w:r>
      <w:r w:rsidR="002873C7" w:rsidRPr="005A0C0E">
        <w:rPr>
          <w:lang w:val="en-US"/>
        </w:rPr>
        <w:t>with</w:t>
      </w:r>
      <w:r w:rsidR="00576689" w:rsidRPr="005A0C0E">
        <w:rPr>
          <w:lang w:val="en-US"/>
        </w:rPr>
        <w:t xml:space="preserve"> the difficulty of defining disability. The “</w:t>
      </w:r>
      <w:r w:rsidR="00F07E64" w:rsidRPr="005A0C0E">
        <w:rPr>
          <w:lang w:val="en-US"/>
        </w:rPr>
        <w:t>disab</w:t>
      </w:r>
      <w:r w:rsidR="00F07E64" w:rsidRPr="00B624A8">
        <w:rPr>
          <w:lang w:val="en-US"/>
        </w:rPr>
        <w:t>led</w:t>
      </w:r>
      <w:r w:rsidR="00F07E64" w:rsidRPr="005A0C0E">
        <w:rPr>
          <w:lang w:val="en-US"/>
        </w:rPr>
        <w:t xml:space="preserve"> </w:t>
      </w:r>
      <w:r w:rsidR="00576689" w:rsidRPr="005A0C0E">
        <w:rPr>
          <w:lang w:val="en-US"/>
        </w:rPr>
        <w:t xml:space="preserve">proportion” of a </w:t>
      </w:r>
      <w:r w:rsidR="005C192D" w:rsidRPr="005A0C0E">
        <w:rPr>
          <w:lang w:val="en-US"/>
        </w:rPr>
        <w:t>population</w:t>
      </w:r>
      <w:r w:rsidR="00576689" w:rsidRPr="005A0C0E">
        <w:rPr>
          <w:lang w:val="en-US"/>
        </w:rPr>
        <w:t xml:space="preserve"> is very sensitive to the definition of </w:t>
      </w:r>
      <w:r w:rsidR="00F07E64" w:rsidRPr="00B624A8">
        <w:rPr>
          <w:lang w:val="en-US"/>
        </w:rPr>
        <w:t>“</w:t>
      </w:r>
      <w:r w:rsidR="00576689" w:rsidRPr="005A0C0E">
        <w:rPr>
          <w:lang w:val="en-US"/>
        </w:rPr>
        <w:t>disability</w:t>
      </w:r>
      <w:r w:rsidR="00F07E64" w:rsidRPr="00B624A8">
        <w:rPr>
          <w:lang w:val="en-US"/>
        </w:rPr>
        <w:t>”</w:t>
      </w:r>
      <w:r w:rsidR="00576689" w:rsidRPr="005A0C0E">
        <w:rPr>
          <w:lang w:val="en-US"/>
        </w:rPr>
        <w:t xml:space="preserve"> being </w:t>
      </w:r>
      <w:r w:rsidR="008C17BC">
        <w:rPr>
          <w:lang w:val="en-US"/>
        </w:rPr>
        <w:t>applied;</w:t>
      </w:r>
      <w:r w:rsidR="00576689" w:rsidRPr="005A0C0E">
        <w:rPr>
          <w:lang w:val="en-US"/>
        </w:rPr>
        <w:t xml:space="preserve"> </w:t>
      </w:r>
      <w:r w:rsidR="008C17BC">
        <w:rPr>
          <w:lang w:val="en-US"/>
        </w:rPr>
        <w:t>f</w:t>
      </w:r>
      <w:r w:rsidR="00576689" w:rsidRPr="005A0C0E">
        <w:rPr>
          <w:lang w:val="en-US"/>
        </w:rPr>
        <w:t>or instance, Beisland and Mersland (2012</w:t>
      </w:r>
      <w:r w:rsidR="00CE5188" w:rsidRPr="005A0C0E">
        <w:rPr>
          <w:lang w:val="en-US"/>
        </w:rPr>
        <w:t>d</w:t>
      </w:r>
      <w:r w:rsidR="00576689" w:rsidRPr="005A0C0E">
        <w:rPr>
          <w:lang w:val="en-US"/>
        </w:rPr>
        <w:t>) show that the percentages</w:t>
      </w:r>
      <w:r w:rsidR="00F07E64" w:rsidRPr="00B624A8">
        <w:rPr>
          <w:lang w:val="en-US"/>
        </w:rPr>
        <w:t xml:space="preserve"> of persons with disabilities</w:t>
      </w:r>
      <w:r w:rsidR="00576689" w:rsidRPr="005A0C0E">
        <w:rPr>
          <w:lang w:val="en-US"/>
        </w:rPr>
        <w:t xml:space="preserve"> range from a</w:t>
      </w:r>
      <w:r w:rsidR="002873C7" w:rsidRPr="005A0C0E">
        <w:rPr>
          <w:lang w:val="en-US"/>
        </w:rPr>
        <w:t>pproximately</w:t>
      </w:r>
      <w:r w:rsidR="00576689" w:rsidRPr="005A0C0E">
        <w:rPr>
          <w:lang w:val="en-US"/>
        </w:rPr>
        <w:t xml:space="preserve"> 3% to 20% of a given population.</w:t>
      </w:r>
      <w:r w:rsidR="00E90B73" w:rsidRPr="005A0C0E">
        <w:rPr>
          <w:lang w:val="en-US"/>
        </w:rPr>
        <w:t xml:space="preserve"> </w:t>
      </w:r>
      <w:r w:rsidR="00383A1C" w:rsidRPr="005A0C0E">
        <w:rPr>
          <w:lang w:val="en-US"/>
        </w:rPr>
        <w:t>Second, even if everybody agreed on the “correct” definition of a disabled person, researchers are still left with the</w:t>
      </w:r>
      <w:r w:rsidR="00CE5188" w:rsidRPr="005A0C0E">
        <w:rPr>
          <w:lang w:val="en-US"/>
        </w:rPr>
        <w:t xml:space="preserve"> challenging</w:t>
      </w:r>
      <w:r w:rsidR="00383A1C" w:rsidRPr="005A0C0E">
        <w:rPr>
          <w:lang w:val="en-US"/>
        </w:rPr>
        <w:t xml:space="preserve"> issue of </w:t>
      </w:r>
      <w:r w:rsidR="00873854" w:rsidRPr="005A0C0E">
        <w:rPr>
          <w:lang w:val="en-US"/>
        </w:rPr>
        <w:t>categorizing</w:t>
      </w:r>
      <w:r w:rsidR="00383A1C" w:rsidRPr="005A0C0E">
        <w:rPr>
          <w:lang w:val="en-US"/>
        </w:rPr>
        <w:t xml:space="preserve"> citizens according to </w:t>
      </w:r>
      <w:r w:rsidR="00F07E64" w:rsidRPr="005A0C0E">
        <w:rPr>
          <w:lang w:val="en-US"/>
        </w:rPr>
        <w:t>th</w:t>
      </w:r>
      <w:r w:rsidR="00F07E64" w:rsidRPr="00B624A8">
        <w:rPr>
          <w:lang w:val="en-US"/>
        </w:rPr>
        <w:t>is</w:t>
      </w:r>
      <w:r w:rsidR="00F07E64" w:rsidRPr="005A0C0E">
        <w:rPr>
          <w:lang w:val="en-US"/>
        </w:rPr>
        <w:t xml:space="preserve"> </w:t>
      </w:r>
      <w:r w:rsidR="00383A1C" w:rsidRPr="005A0C0E">
        <w:rPr>
          <w:lang w:val="en-US"/>
        </w:rPr>
        <w:t>definition and then access</w:t>
      </w:r>
      <w:r w:rsidR="00873854" w:rsidRPr="005A0C0E">
        <w:rPr>
          <w:lang w:val="en-US"/>
        </w:rPr>
        <w:t>ing</w:t>
      </w:r>
      <w:r w:rsidR="00383A1C" w:rsidRPr="005A0C0E">
        <w:rPr>
          <w:lang w:val="en-US"/>
        </w:rPr>
        <w:t xml:space="preserve"> </w:t>
      </w:r>
      <w:r w:rsidR="00CE5188" w:rsidRPr="005A0C0E">
        <w:rPr>
          <w:lang w:val="en-US"/>
        </w:rPr>
        <w:t xml:space="preserve">data of </w:t>
      </w:r>
      <w:r w:rsidR="00383A1C" w:rsidRPr="005A0C0E">
        <w:rPr>
          <w:lang w:val="en-US"/>
        </w:rPr>
        <w:t xml:space="preserve">the persons </w:t>
      </w:r>
      <w:r w:rsidR="00F07E64" w:rsidRPr="00B624A8">
        <w:rPr>
          <w:lang w:val="en-US"/>
        </w:rPr>
        <w:t>who can be included</w:t>
      </w:r>
      <w:r w:rsidR="00F07E64" w:rsidRPr="005A0C0E">
        <w:rPr>
          <w:lang w:val="en-US"/>
        </w:rPr>
        <w:t xml:space="preserve"> </w:t>
      </w:r>
      <w:r w:rsidR="00383A1C" w:rsidRPr="005A0C0E">
        <w:rPr>
          <w:lang w:val="en-US"/>
        </w:rPr>
        <w:t>as disabled.</w:t>
      </w:r>
      <w:r w:rsidR="00873854" w:rsidRPr="005A0C0E">
        <w:rPr>
          <w:lang w:val="en-US"/>
        </w:rPr>
        <w:t xml:space="preserve"> F</w:t>
      </w:r>
      <w:r w:rsidR="005C192D" w:rsidRPr="005A0C0E">
        <w:rPr>
          <w:lang w:val="en-US"/>
        </w:rPr>
        <w:t xml:space="preserve">inally, </w:t>
      </w:r>
      <w:r w:rsidR="006857FE" w:rsidRPr="005A0C0E">
        <w:rPr>
          <w:lang w:val="en-US"/>
        </w:rPr>
        <w:t xml:space="preserve">to </w:t>
      </w:r>
      <w:r w:rsidR="00873854" w:rsidRPr="005A0C0E">
        <w:rPr>
          <w:lang w:val="en-US"/>
        </w:rPr>
        <w:t xml:space="preserve">ensure </w:t>
      </w:r>
      <w:r w:rsidR="006A1F91" w:rsidRPr="005A0C0E">
        <w:rPr>
          <w:lang w:val="en-US"/>
        </w:rPr>
        <w:t xml:space="preserve">random </w:t>
      </w:r>
      <w:r w:rsidR="006857FE" w:rsidRPr="005A0C0E">
        <w:rPr>
          <w:lang w:val="en-US"/>
        </w:rPr>
        <w:t xml:space="preserve">inclusion of </w:t>
      </w:r>
      <w:r w:rsidR="00F07E64" w:rsidRPr="00B624A8">
        <w:rPr>
          <w:lang w:val="en-US"/>
        </w:rPr>
        <w:t xml:space="preserve">a </w:t>
      </w:r>
      <w:r w:rsidR="006857FE" w:rsidRPr="005A0C0E">
        <w:rPr>
          <w:lang w:val="en-US"/>
        </w:rPr>
        <w:t xml:space="preserve">sufficient </w:t>
      </w:r>
      <w:r w:rsidR="00F07E64" w:rsidRPr="005A0C0E">
        <w:rPr>
          <w:lang w:val="en-US"/>
        </w:rPr>
        <w:t>numbe</w:t>
      </w:r>
      <w:r w:rsidR="00F07E64" w:rsidRPr="00B624A8">
        <w:rPr>
          <w:lang w:val="en-US"/>
        </w:rPr>
        <w:t>r</w:t>
      </w:r>
      <w:r w:rsidR="00F07E64" w:rsidRPr="005A0C0E">
        <w:rPr>
          <w:lang w:val="en-US"/>
        </w:rPr>
        <w:t xml:space="preserve"> </w:t>
      </w:r>
      <w:r w:rsidR="006857FE" w:rsidRPr="005A0C0E">
        <w:rPr>
          <w:lang w:val="en-US"/>
        </w:rPr>
        <w:t>of the various types of disabilit</w:t>
      </w:r>
      <w:r w:rsidR="00C3110E" w:rsidRPr="005A0C0E">
        <w:rPr>
          <w:lang w:val="en-US"/>
        </w:rPr>
        <w:t>ies</w:t>
      </w:r>
      <w:r w:rsidR="006A1F91" w:rsidRPr="005A0C0E">
        <w:rPr>
          <w:lang w:val="en-US"/>
        </w:rPr>
        <w:t>,</w:t>
      </w:r>
      <w:r w:rsidR="006857FE" w:rsidRPr="005A0C0E">
        <w:rPr>
          <w:lang w:val="en-US"/>
        </w:rPr>
        <w:t xml:space="preserve"> datasets</w:t>
      </w:r>
      <w:r w:rsidR="006A1F91" w:rsidRPr="005A0C0E">
        <w:rPr>
          <w:lang w:val="en-US"/>
        </w:rPr>
        <w:t xml:space="preserve"> of a given population need to be very large, which is costly.</w:t>
      </w:r>
      <w:r w:rsidR="006857FE" w:rsidRPr="005A0C0E">
        <w:rPr>
          <w:lang w:val="en-US"/>
        </w:rPr>
        <w:t xml:space="preserve"> </w:t>
      </w:r>
    </w:p>
    <w:p w:rsidR="001A1272" w:rsidRPr="005A0C0E" w:rsidRDefault="00320747" w:rsidP="004E05EF">
      <w:pPr>
        <w:spacing w:line="480" w:lineRule="auto"/>
        <w:rPr>
          <w:lang w:val="en-US"/>
        </w:rPr>
      </w:pPr>
      <w:r w:rsidRPr="005A0C0E">
        <w:rPr>
          <w:lang w:val="en-US"/>
        </w:rPr>
        <w:t>Despite the challenges and data limitations, there has been an increased focus on disability and microfinance over the past few years</w:t>
      </w:r>
      <w:r w:rsidR="00F07E64" w:rsidRPr="00B624A8">
        <w:rPr>
          <w:lang w:val="en-US"/>
        </w:rPr>
        <w:t>,</w:t>
      </w:r>
      <w:r w:rsidR="0088351E" w:rsidRPr="005A0C0E">
        <w:rPr>
          <w:lang w:val="en-US"/>
        </w:rPr>
        <w:t xml:space="preserve"> and some academic research is</w:t>
      </w:r>
      <w:r w:rsidR="00F07E64" w:rsidRPr="00B624A8">
        <w:rPr>
          <w:lang w:val="en-US"/>
        </w:rPr>
        <w:t xml:space="preserve"> currently</w:t>
      </w:r>
      <w:r w:rsidR="0088351E" w:rsidRPr="005A0C0E">
        <w:rPr>
          <w:lang w:val="en-US"/>
        </w:rPr>
        <w:t xml:space="preserve"> becoming available</w:t>
      </w:r>
      <w:r w:rsidRPr="005A0C0E">
        <w:rPr>
          <w:lang w:val="en-US"/>
        </w:rPr>
        <w:t xml:space="preserve">. </w:t>
      </w:r>
      <w:r w:rsidR="00F07E64" w:rsidRPr="00B624A8">
        <w:rPr>
          <w:lang w:val="en-US"/>
        </w:rPr>
        <w:t>T</w:t>
      </w:r>
      <w:r w:rsidR="00F07E64" w:rsidRPr="005A0C0E">
        <w:rPr>
          <w:lang w:val="en-US"/>
        </w:rPr>
        <w:t>herefore</w:t>
      </w:r>
      <w:r w:rsidR="00F07E64" w:rsidRPr="00B624A8">
        <w:rPr>
          <w:lang w:val="en-US"/>
        </w:rPr>
        <w:t>,</w:t>
      </w:r>
      <w:r w:rsidR="00F07E64" w:rsidRPr="005A0C0E">
        <w:rPr>
          <w:lang w:val="en-US"/>
        </w:rPr>
        <w:t xml:space="preserve"> </w:t>
      </w:r>
      <w:r w:rsidR="00F07E64" w:rsidRPr="00B624A8">
        <w:rPr>
          <w:lang w:val="en-US"/>
        </w:rPr>
        <w:t>t</w:t>
      </w:r>
      <w:r w:rsidR="00F07E64" w:rsidRPr="005A0C0E">
        <w:rPr>
          <w:lang w:val="en-US"/>
        </w:rPr>
        <w:t xml:space="preserve">he </w:t>
      </w:r>
      <w:r w:rsidR="00EE7F70" w:rsidRPr="005A0C0E">
        <w:rPr>
          <w:lang w:val="en-US"/>
        </w:rPr>
        <w:t xml:space="preserve">first aim of this chapter is to </w:t>
      </w:r>
      <w:r w:rsidR="0088351E" w:rsidRPr="005A0C0E">
        <w:rPr>
          <w:lang w:val="en-US"/>
        </w:rPr>
        <w:t>review</w:t>
      </w:r>
      <w:r w:rsidR="00F07E64" w:rsidRPr="00B624A8">
        <w:rPr>
          <w:lang w:val="en-US"/>
        </w:rPr>
        <w:t xml:space="preserve"> the</w:t>
      </w:r>
      <w:r w:rsidR="0088351E" w:rsidRPr="005A0C0E">
        <w:rPr>
          <w:lang w:val="en-US"/>
        </w:rPr>
        <w:t xml:space="preserve"> existing research, </w:t>
      </w:r>
      <w:r w:rsidR="00F07E64" w:rsidRPr="00B624A8">
        <w:rPr>
          <w:lang w:val="en-US"/>
        </w:rPr>
        <w:t>and</w:t>
      </w:r>
      <w:r w:rsidR="00F07E64" w:rsidRPr="005A0C0E">
        <w:rPr>
          <w:lang w:val="en-US"/>
        </w:rPr>
        <w:t xml:space="preserve"> </w:t>
      </w:r>
      <w:r w:rsidR="0088351E" w:rsidRPr="005A0C0E">
        <w:rPr>
          <w:lang w:val="en-US"/>
        </w:rPr>
        <w:t>t</w:t>
      </w:r>
      <w:r w:rsidR="00EE7F70" w:rsidRPr="005A0C0E">
        <w:rPr>
          <w:lang w:val="en-US"/>
        </w:rPr>
        <w:t xml:space="preserve">he second goal is to </w:t>
      </w:r>
      <w:r w:rsidR="0088351E" w:rsidRPr="005A0C0E">
        <w:rPr>
          <w:lang w:val="en-US"/>
        </w:rPr>
        <w:t>provide practical</w:t>
      </w:r>
      <w:r w:rsidR="00EE7F70" w:rsidRPr="005A0C0E">
        <w:rPr>
          <w:lang w:val="en-US"/>
        </w:rPr>
        <w:t xml:space="preserve"> recommendations </w:t>
      </w:r>
      <w:r w:rsidR="00C45228" w:rsidRPr="005A0C0E">
        <w:rPr>
          <w:lang w:val="en-US"/>
        </w:rPr>
        <w:t>and</w:t>
      </w:r>
      <w:r w:rsidR="00EE7F70" w:rsidRPr="005A0C0E">
        <w:rPr>
          <w:lang w:val="en-US"/>
        </w:rPr>
        <w:t xml:space="preserve"> policy </w:t>
      </w:r>
      <w:r w:rsidR="0088351E" w:rsidRPr="005A0C0E">
        <w:rPr>
          <w:lang w:val="en-US"/>
        </w:rPr>
        <w:t xml:space="preserve">guidelines based on </w:t>
      </w:r>
      <w:r w:rsidR="00F07E64" w:rsidRPr="00B624A8">
        <w:rPr>
          <w:lang w:val="en-US"/>
        </w:rPr>
        <w:t>this</w:t>
      </w:r>
      <w:r w:rsidR="00EE7F70" w:rsidRPr="005A0C0E">
        <w:rPr>
          <w:lang w:val="en-US"/>
        </w:rPr>
        <w:t xml:space="preserve"> </w:t>
      </w:r>
      <w:r w:rsidR="0088351E" w:rsidRPr="005A0C0E">
        <w:rPr>
          <w:lang w:val="en-US"/>
        </w:rPr>
        <w:t>knowledge.</w:t>
      </w:r>
    </w:p>
    <w:p w:rsidR="00EE7F70" w:rsidRPr="005A0C0E" w:rsidRDefault="00EE7F70" w:rsidP="004E05EF">
      <w:pPr>
        <w:spacing w:line="480" w:lineRule="auto"/>
        <w:rPr>
          <w:lang w:val="en-US"/>
        </w:rPr>
      </w:pPr>
      <w:r w:rsidRPr="005A0C0E">
        <w:rPr>
          <w:lang w:val="en-US"/>
        </w:rPr>
        <w:lastRenderedPageBreak/>
        <w:t xml:space="preserve">This chapter is </w:t>
      </w:r>
      <w:r w:rsidR="007B72B4" w:rsidRPr="005A0C0E">
        <w:rPr>
          <w:lang w:val="en-US"/>
        </w:rPr>
        <w:t>organized</w:t>
      </w:r>
      <w:r w:rsidRPr="005A0C0E">
        <w:rPr>
          <w:lang w:val="en-US"/>
        </w:rPr>
        <w:t xml:space="preserve"> as follows: Section 2 </w:t>
      </w:r>
      <w:r w:rsidR="007B72B4" w:rsidRPr="005A0C0E">
        <w:rPr>
          <w:lang w:val="en-US"/>
        </w:rPr>
        <w:t>begins</w:t>
      </w:r>
      <w:r w:rsidRPr="005A0C0E">
        <w:rPr>
          <w:lang w:val="en-US"/>
        </w:rPr>
        <w:t xml:space="preserve"> with a presentation of the theoretical framework that is often applied to </w:t>
      </w:r>
      <w:r w:rsidR="007B72B4" w:rsidRPr="005A0C0E">
        <w:rPr>
          <w:lang w:val="en-US"/>
        </w:rPr>
        <w:t>analyze</w:t>
      </w:r>
      <w:r w:rsidRPr="005A0C0E">
        <w:rPr>
          <w:lang w:val="en-US"/>
        </w:rPr>
        <w:t xml:space="preserve"> microfinance and disability. The second part of Section 2 discusses </w:t>
      </w:r>
      <w:r w:rsidR="00F07E64" w:rsidRPr="00B624A8">
        <w:rPr>
          <w:lang w:val="en-US"/>
        </w:rPr>
        <w:t xml:space="preserve">the </w:t>
      </w:r>
      <w:r w:rsidRPr="005A0C0E">
        <w:rPr>
          <w:lang w:val="en-US"/>
        </w:rPr>
        <w:t>empirical research on access to microfinance for persons with d</w:t>
      </w:r>
      <w:r w:rsidR="008C17BC">
        <w:rPr>
          <w:lang w:val="en-US"/>
        </w:rPr>
        <w:t>isabilities. In S</w:t>
      </w:r>
      <w:r w:rsidRPr="005A0C0E">
        <w:rPr>
          <w:lang w:val="en-US"/>
        </w:rPr>
        <w:t>ection 3, we apply survey evidence from t</w:t>
      </w:r>
      <w:r w:rsidR="0033399E" w:rsidRPr="005A0C0E">
        <w:rPr>
          <w:lang w:val="en-US"/>
        </w:rPr>
        <w:t>w</w:t>
      </w:r>
      <w:r w:rsidRPr="005A0C0E">
        <w:rPr>
          <w:lang w:val="en-US"/>
        </w:rPr>
        <w:t>o Ugandan studies and use Uganda as a case for a more in-depth</w:t>
      </w:r>
      <w:r w:rsidR="008301FF" w:rsidRPr="005A0C0E">
        <w:rPr>
          <w:lang w:val="en-US"/>
        </w:rPr>
        <w:t xml:space="preserve"> </w:t>
      </w:r>
      <w:r w:rsidRPr="005A0C0E">
        <w:rPr>
          <w:lang w:val="en-US"/>
        </w:rPr>
        <w:t xml:space="preserve">empirical analysis of access to microfinance. Section 4 is the forward-looking section of the chapter. We combine “hard facts” from the presented research with subjective judgment based on several years of experience from both academic microfinance research and practical microfinance work in the field to </w:t>
      </w:r>
      <w:r w:rsidR="00F07E64" w:rsidRPr="00B624A8">
        <w:rPr>
          <w:lang w:val="en-US"/>
        </w:rPr>
        <w:t>assert suggestions for future applications</w:t>
      </w:r>
      <w:r w:rsidRPr="005A0C0E">
        <w:rPr>
          <w:lang w:val="en-US"/>
        </w:rPr>
        <w:t xml:space="preserve"> </w:t>
      </w:r>
      <w:r w:rsidR="00F07E64" w:rsidRPr="00B624A8">
        <w:rPr>
          <w:lang w:val="en-US"/>
        </w:rPr>
        <w:t>of</w:t>
      </w:r>
      <w:r w:rsidR="00F07E64" w:rsidRPr="005A0C0E">
        <w:rPr>
          <w:lang w:val="en-US"/>
        </w:rPr>
        <w:t xml:space="preserve"> </w:t>
      </w:r>
      <w:r w:rsidRPr="005A0C0E">
        <w:rPr>
          <w:lang w:val="en-US"/>
        </w:rPr>
        <w:t xml:space="preserve">microfinance and disability. Section 5 concludes the chapter. </w:t>
      </w:r>
    </w:p>
    <w:p w:rsidR="00561913" w:rsidRPr="005A0C0E" w:rsidRDefault="00561913" w:rsidP="004E05EF">
      <w:pPr>
        <w:spacing w:line="480" w:lineRule="auto"/>
        <w:rPr>
          <w:lang w:val="en-US"/>
        </w:rPr>
      </w:pPr>
    </w:p>
    <w:p w:rsidR="00431631" w:rsidRPr="005A0C0E" w:rsidRDefault="00431631" w:rsidP="004E05EF">
      <w:pPr>
        <w:spacing w:line="480" w:lineRule="auto"/>
        <w:rPr>
          <w:b/>
          <w:lang w:val="en-US"/>
        </w:rPr>
      </w:pPr>
      <w:r w:rsidRPr="005A0C0E">
        <w:rPr>
          <w:b/>
          <w:lang w:val="en-US"/>
        </w:rPr>
        <w:t>2. Prior research</w:t>
      </w:r>
    </w:p>
    <w:p w:rsidR="00BC1CBD" w:rsidRPr="005A0C0E" w:rsidRDefault="00BC1CBD" w:rsidP="004E05EF">
      <w:pPr>
        <w:spacing w:line="480" w:lineRule="auto"/>
        <w:rPr>
          <w:b/>
          <w:lang w:val="en-US"/>
        </w:rPr>
      </w:pPr>
      <w:r w:rsidRPr="005A0C0E">
        <w:rPr>
          <w:b/>
          <w:lang w:val="en-US"/>
        </w:rPr>
        <w:t>2.1. Theoretical Framework</w:t>
      </w:r>
    </w:p>
    <w:p w:rsidR="00BC1CBD" w:rsidRPr="005A0C0E" w:rsidRDefault="0096555D" w:rsidP="00827E18">
      <w:pPr>
        <w:spacing w:line="480" w:lineRule="auto"/>
        <w:rPr>
          <w:lang w:val="en-US"/>
        </w:rPr>
      </w:pPr>
      <w:r w:rsidRPr="005A0C0E">
        <w:rPr>
          <w:lang w:val="en-US"/>
        </w:rPr>
        <w:t xml:space="preserve">Persons with disabilities are a low priority and </w:t>
      </w:r>
      <w:r w:rsidR="007B6944" w:rsidRPr="005A0C0E">
        <w:rPr>
          <w:lang w:val="en-US"/>
        </w:rPr>
        <w:t>a disadvantaged</w:t>
      </w:r>
      <w:r w:rsidRPr="005A0C0E">
        <w:rPr>
          <w:lang w:val="en-US"/>
        </w:rPr>
        <w:t xml:space="preserve"> group </w:t>
      </w:r>
      <w:r w:rsidR="005A0C0E" w:rsidRPr="00B624A8">
        <w:rPr>
          <w:lang w:val="en-US"/>
        </w:rPr>
        <w:t>in regard to</w:t>
      </w:r>
      <w:r w:rsidRPr="005A0C0E">
        <w:rPr>
          <w:lang w:val="en-US"/>
        </w:rPr>
        <w:t xml:space="preserve"> socio-economic integration (ILO 2002). </w:t>
      </w:r>
      <w:r w:rsidR="00252DF2" w:rsidRPr="005A0C0E">
        <w:rPr>
          <w:lang w:val="en-US"/>
        </w:rPr>
        <w:t>According to the United Nations (200</w:t>
      </w:r>
      <w:r w:rsidR="00CF662D" w:rsidRPr="005A0C0E">
        <w:rPr>
          <w:lang w:val="en-US"/>
        </w:rPr>
        <w:t>8</w:t>
      </w:r>
      <w:r w:rsidR="00252DF2" w:rsidRPr="005A0C0E">
        <w:rPr>
          <w:lang w:val="en-US"/>
        </w:rPr>
        <w:t xml:space="preserve">), employers often resist hiring </w:t>
      </w:r>
      <w:r w:rsidR="00B379D9" w:rsidRPr="005A0C0E">
        <w:rPr>
          <w:lang w:val="en-US"/>
        </w:rPr>
        <w:t>persons with disabilities</w:t>
      </w:r>
      <w:r w:rsidR="00252DF2" w:rsidRPr="005A0C0E">
        <w:rPr>
          <w:lang w:val="en-US"/>
        </w:rPr>
        <w:t xml:space="preserve">. </w:t>
      </w:r>
      <w:r w:rsidR="008F1AD3" w:rsidRPr="005A0C0E">
        <w:rPr>
          <w:lang w:val="en-US"/>
        </w:rPr>
        <w:t>Even if “disability does not necess</w:t>
      </w:r>
      <w:r w:rsidR="00CF662D" w:rsidRPr="005A0C0E">
        <w:rPr>
          <w:lang w:val="en-US"/>
        </w:rPr>
        <w:t xml:space="preserve">arily mean inability” (Handicap </w:t>
      </w:r>
      <w:r w:rsidR="008F1AD3" w:rsidRPr="005A0C0E">
        <w:rPr>
          <w:lang w:val="en-US"/>
        </w:rPr>
        <w:t>International, 2006, p. 6), s</w:t>
      </w:r>
      <w:r w:rsidR="00252DF2" w:rsidRPr="005A0C0E">
        <w:rPr>
          <w:lang w:val="en-US"/>
        </w:rPr>
        <w:t xml:space="preserve">tatistics indicate that 80% to 90% of the </w:t>
      </w:r>
      <w:r w:rsidR="00B379D9" w:rsidRPr="005A0C0E">
        <w:rPr>
          <w:lang w:val="en-US"/>
        </w:rPr>
        <w:t>persons with disabilities</w:t>
      </w:r>
      <w:r w:rsidR="00252DF2" w:rsidRPr="005A0C0E">
        <w:rPr>
          <w:lang w:val="en-US"/>
        </w:rPr>
        <w:t xml:space="preserve"> do not have formal jobs</w:t>
      </w:r>
      <w:r w:rsidR="00F22365" w:rsidRPr="005A0C0E">
        <w:rPr>
          <w:lang w:val="en-US"/>
        </w:rPr>
        <w:t>;</w:t>
      </w:r>
      <w:r w:rsidR="00252DF2" w:rsidRPr="005A0C0E">
        <w:rPr>
          <w:lang w:val="en-US"/>
        </w:rPr>
        <w:t xml:space="preserve"> thus</w:t>
      </w:r>
      <w:r w:rsidR="00F22365" w:rsidRPr="005A0C0E">
        <w:rPr>
          <w:lang w:val="en-US"/>
        </w:rPr>
        <w:t>,</w:t>
      </w:r>
      <w:r w:rsidR="00252DF2" w:rsidRPr="005A0C0E">
        <w:rPr>
          <w:lang w:val="en-US"/>
        </w:rPr>
        <w:t xml:space="preserve"> most </w:t>
      </w:r>
      <w:r w:rsidR="00F22365" w:rsidRPr="005A0C0E">
        <w:rPr>
          <w:lang w:val="en-US"/>
        </w:rPr>
        <w:t xml:space="preserve">persons with disabilities </w:t>
      </w:r>
      <w:r w:rsidR="00252DF2" w:rsidRPr="005A0C0E">
        <w:rPr>
          <w:lang w:val="en-US"/>
        </w:rPr>
        <w:t>resort to self-employment (United Nations</w:t>
      </w:r>
      <w:r w:rsidR="00FF6767" w:rsidRPr="005A0C0E">
        <w:rPr>
          <w:lang w:val="en-US"/>
        </w:rPr>
        <w:t>,</w:t>
      </w:r>
      <w:r w:rsidR="00252DF2" w:rsidRPr="005A0C0E">
        <w:rPr>
          <w:lang w:val="en-US"/>
        </w:rPr>
        <w:t xml:space="preserve"> 200</w:t>
      </w:r>
      <w:r w:rsidR="00B3556D" w:rsidRPr="005A0C0E">
        <w:rPr>
          <w:lang w:val="en-US"/>
        </w:rPr>
        <w:t>8</w:t>
      </w:r>
      <w:r w:rsidR="00252DF2" w:rsidRPr="005A0C0E">
        <w:rPr>
          <w:lang w:val="en-US"/>
        </w:rPr>
        <w:t>). Because lacking access to capital can be a major problem for this group, access to microfinance should be a priority in pro-disability policies (Handicap</w:t>
      </w:r>
      <w:r w:rsidR="00CF662D" w:rsidRPr="005A0C0E">
        <w:rPr>
          <w:lang w:val="en-US"/>
        </w:rPr>
        <w:t xml:space="preserve"> </w:t>
      </w:r>
      <w:r w:rsidR="00252DF2" w:rsidRPr="005A0C0E">
        <w:rPr>
          <w:lang w:val="en-US"/>
        </w:rPr>
        <w:t>International</w:t>
      </w:r>
      <w:r w:rsidR="00FF6767" w:rsidRPr="005A0C0E">
        <w:rPr>
          <w:lang w:val="en-US"/>
        </w:rPr>
        <w:t>,</w:t>
      </w:r>
      <w:r w:rsidR="00252DF2" w:rsidRPr="005A0C0E">
        <w:rPr>
          <w:lang w:val="en-US"/>
        </w:rPr>
        <w:t xml:space="preserve"> 2006). </w:t>
      </w:r>
      <w:r w:rsidR="00F22365" w:rsidRPr="005A0C0E">
        <w:rPr>
          <w:lang w:val="en-US"/>
        </w:rPr>
        <w:t>Nevertheless</w:t>
      </w:r>
      <w:r w:rsidR="00252DF2" w:rsidRPr="005A0C0E">
        <w:rPr>
          <w:lang w:val="en-US"/>
        </w:rPr>
        <w:t>, i</w:t>
      </w:r>
      <w:r w:rsidR="00BC1CBD" w:rsidRPr="005A0C0E">
        <w:rPr>
          <w:lang w:val="en-US"/>
        </w:rPr>
        <w:t>t is generally assumed that persons with disabilities have low access to microfinance services (</w:t>
      </w:r>
      <w:proofErr w:type="spellStart"/>
      <w:r w:rsidR="00BC1CBD" w:rsidRPr="005A0C0E">
        <w:rPr>
          <w:lang w:val="en-US"/>
        </w:rPr>
        <w:t>Cramm</w:t>
      </w:r>
      <w:proofErr w:type="spellEnd"/>
      <w:r w:rsidR="00BC1CBD" w:rsidRPr="005A0C0E">
        <w:rPr>
          <w:lang w:val="en-US"/>
        </w:rPr>
        <w:t xml:space="preserve"> and </w:t>
      </w:r>
      <w:proofErr w:type="spellStart"/>
      <w:r w:rsidR="00BC1CBD" w:rsidRPr="005A0C0E">
        <w:rPr>
          <w:lang w:val="en-US"/>
        </w:rPr>
        <w:t>Finkenflügel</w:t>
      </w:r>
      <w:proofErr w:type="spellEnd"/>
      <w:r w:rsidR="00BC1CBD" w:rsidRPr="005A0C0E">
        <w:rPr>
          <w:lang w:val="en-US"/>
        </w:rPr>
        <w:t>, 2008</w:t>
      </w:r>
      <w:r w:rsidR="00EC6549" w:rsidRPr="005A0C0E">
        <w:rPr>
          <w:lang w:val="en-US"/>
        </w:rPr>
        <w:t xml:space="preserve">; </w:t>
      </w:r>
      <w:proofErr w:type="spellStart"/>
      <w:r w:rsidR="00EC6549" w:rsidRPr="005A0C0E">
        <w:rPr>
          <w:lang w:val="en-US"/>
        </w:rPr>
        <w:t>Martinelli</w:t>
      </w:r>
      <w:proofErr w:type="spellEnd"/>
      <w:r w:rsidR="00EC6549" w:rsidRPr="005A0C0E">
        <w:rPr>
          <w:lang w:val="en-US"/>
        </w:rPr>
        <w:t xml:space="preserve"> and Mersland, 2010</w:t>
      </w:r>
      <w:r w:rsidR="00BC1CBD" w:rsidRPr="005A0C0E">
        <w:rPr>
          <w:lang w:val="en-US"/>
        </w:rPr>
        <w:t xml:space="preserve">). </w:t>
      </w:r>
      <w:proofErr w:type="spellStart"/>
      <w:r w:rsidR="00BC1CBD" w:rsidRPr="005A0C0E">
        <w:rPr>
          <w:lang w:val="en-US"/>
        </w:rPr>
        <w:t>Simanowitz</w:t>
      </w:r>
      <w:proofErr w:type="spellEnd"/>
      <w:r w:rsidR="00BC1CBD" w:rsidRPr="005A0C0E">
        <w:rPr>
          <w:lang w:val="en-US"/>
        </w:rPr>
        <w:t xml:space="preserve"> (2001) defines four exclusion mechanisms, or barriers, that lead to the exclusion of disabled and other vulnerable persons from microfinance services: </w:t>
      </w:r>
      <w:r w:rsidR="00B3556D" w:rsidRPr="005A0C0E">
        <w:rPr>
          <w:lang w:val="en-US"/>
        </w:rPr>
        <w:t>exclusion by other credit group</w:t>
      </w:r>
      <w:r w:rsidR="00BC1CBD" w:rsidRPr="005A0C0E">
        <w:rPr>
          <w:lang w:val="en-US"/>
        </w:rPr>
        <w:t xml:space="preserve"> members, exclusion by staff, exclusion by service design</w:t>
      </w:r>
      <w:r w:rsidR="00BE4EA4" w:rsidRPr="005A0C0E">
        <w:rPr>
          <w:lang w:val="en-US"/>
        </w:rPr>
        <w:t xml:space="preserve">, </w:t>
      </w:r>
      <w:r w:rsidR="00BE4EA4" w:rsidRPr="005A0C0E">
        <w:rPr>
          <w:lang w:val="en-US"/>
        </w:rPr>
        <w:lastRenderedPageBreak/>
        <w:t>and exclusion by the disabled person himself</w:t>
      </w:r>
      <w:r w:rsidR="00BC1CBD" w:rsidRPr="005A0C0E">
        <w:rPr>
          <w:lang w:val="en-US"/>
        </w:rPr>
        <w:t xml:space="preserve">. </w:t>
      </w:r>
      <w:proofErr w:type="spellStart"/>
      <w:r w:rsidR="00BC1CBD" w:rsidRPr="005A0C0E">
        <w:rPr>
          <w:lang w:val="en-US"/>
        </w:rPr>
        <w:t>Bwire</w:t>
      </w:r>
      <w:proofErr w:type="spellEnd"/>
      <w:r w:rsidR="00BC1CBD" w:rsidRPr="005A0C0E">
        <w:rPr>
          <w:lang w:val="en-US"/>
        </w:rPr>
        <w:t xml:space="preserve"> et al. (2009) add a fifth barrier to </w:t>
      </w:r>
      <w:r w:rsidR="00F07E64" w:rsidRPr="005A0C0E">
        <w:rPr>
          <w:lang w:val="en-US"/>
        </w:rPr>
        <w:t>th</w:t>
      </w:r>
      <w:r w:rsidR="00F07E64" w:rsidRPr="00B624A8">
        <w:rPr>
          <w:lang w:val="en-US"/>
        </w:rPr>
        <w:t>is</w:t>
      </w:r>
      <w:r w:rsidR="00F07E64" w:rsidRPr="005A0C0E">
        <w:rPr>
          <w:lang w:val="en-US"/>
        </w:rPr>
        <w:t xml:space="preserve"> </w:t>
      </w:r>
      <w:r w:rsidR="00BC1CBD" w:rsidRPr="005A0C0E">
        <w:rPr>
          <w:lang w:val="en-US"/>
        </w:rPr>
        <w:t>list</w:t>
      </w:r>
      <w:r w:rsidR="00F07E64" w:rsidRPr="00B624A8">
        <w:rPr>
          <w:lang w:val="en-US"/>
        </w:rPr>
        <w:t>:</w:t>
      </w:r>
      <w:r w:rsidR="00BC1CBD" w:rsidRPr="005A0C0E">
        <w:rPr>
          <w:lang w:val="en-US"/>
        </w:rPr>
        <w:t xml:space="preserve"> physical and informational exclusion stemming from the disability itself.</w:t>
      </w:r>
    </w:p>
    <w:p w:rsidR="0077326C" w:rsidRPr="005A0C0E" w:rsidRDefault="008C17BC" w:rsidP="0021084A">
      <w:pPr>
        <w:pStyle w:val="Default"/>
        <w:spacing w:after="240" w:line="480" w:lineRule="auto"/>
        <w:rPr>
          <w:rFonts w:asciiTheme="minorHAnsi" w:hAnsiTheme="minorHAnsi" w:cstheme="minorBidi"/>
          <w:color w:val="auto"/>
          <w:sz w:val="22"/>
          <w:szCs w:val="22"/>
          <w:lang w:val="en-US"/>
        </w:rPr>
      </w:pPr>
      <w:r>
        <w:rPr>
          <w:rFonts w:asciiTheme="minorHAnsi" w:hAnsiTheme="minorHAnsi" w:cstheme="minorBidi"/>
          <w:color w:val="auto"/>
          <w:sz w:val="22"/>
          <w:szCs w:val="22"/>
          <w:lang w:val="en-US"/>
        </w:rPr>
        <w:t>The first of the listed exclusion mechanisms -</w:t>
      </w:r>
      <w:r w:rsidR="00F07E64">
        <w:rPr>
          <w:rFonts w:asciiTheme="minorHAnsi" w:hAnsiTheme="minorHAnsi" w:cstheme="minorBidi"/>
          <w:color w:val="auto"/>
          <w:sz w:val="22"/>
          <w:szCs w:val="22"/>
          <w:lang w:val="en-US"/>
        </w:rPr>
        <w:t xml:space="preserve"> e</w:t>
      </w:r>
      <w:r>
        <w:rPr>
          <w:rFonts w:asciiTheme="minorHAnsi" w:hAnsiTheme="minorHAnsi" w:cstheme="minorBidi"/>
          <w:color w:val="auto"/>
          <w:sz w:val="22"/>
          <w:szCs w:val="22"/>
          <w:lang w:val="en-US"/>
        </w:rPr>
        <w:t xml:space="preserve">xclusion </w:t>
      </w:r>
      <w:r w:rsidR="00EC6549" w:rsidRPr="005A0C0E">
        <w:rPr>
          <w:rFonts w:asciiTheme="minorHAnsi" w:hAnsiTheme="minorHAnsi" w:cstheme="minorBidi"/>
          <w:color w:val="auto"/>
          <w:sz w:val="22"/>
          <w:szCs w:val="22"/>
          <w:lang w:val="en-US"/>
        </w:rPr>
        <w:t>by other microfinance costumers</w:t>
      </w:r>
      <w:r>
        <w:rPr>
          <w:rFonts w:asciiTheme="minorHAnsi" w:hAnsiTheme="minorHAnsi" w:cstheme="minorBidi"/>
          <w:color w:val="auto"/>
          <w:sz w:val="22"/>
          <w:szCs w:val="22"/>
          <w:lang w:val="en-US"/>
        </w:rPr>
        <w:t xml:space="preserve"> -</w:t>
      </w:r>
      <w:r w:rsidR="00EC6549" w:rsidRPr="005A0C0E">
        <w:rPr>
          <w:rFonts w:asciiTheme="minorHAnsi" w:hAnsiTheme="minorHAnsi" w:cstheme="minorBidi"/>
          <w:color w:val="auto"/>
          <w:sz w:val="22"/>
          <w:szCs w:val="22"/>
          <w:lang w:val="en-US"/>
        </w:rPr>
        <w:t xml:space="preserve"> may be a serious barrier to </w:t>
      </w:r>
      <w:r w:rsidR="00B379D9" w:rsidRPr="005A0C0E">
        <w:rPr>
          <w:rFonts w:asciiTheme="minorHAnsi" w:hAnsiTheme="minorHAnsi" w:cstheme="minorBidi"/>
          <w:color w:val="auto"/>
          <w:sz w:val="22"/>
          <w:szCs w:val="22"/>
          <w:lang w:val="en-US"/>
        </w:rPr>
        <w:t>persons with disabilities</w:t>
      </w:r>
      <w:r w:rsidR="00EC6549" w:rsidRPr="005A0C0E">
        <w:rPr>
          <w:rFonts w:asciiTheme="minorHAnsi" w:hAnsiTheme="minorHAnsi" w:cstheme="minorBidi"/>
          <w:color w:val="auto"/>
          <w:sz w:val="22"/>
          <w:szCs w:val="22"/>
          <w:lang w:val="en-US"/>
        </w:rPr>
        <w:t xml:space="preserve">. </w:t>
      </w:r>
      <w:r w:rsidR="00F07E64" w:rsidRPr="005A0C0E">
        <w:rPr>
          <w:rFonts w:asciiTheme="minorHAnsi" w:hAnsiTheme="minorHAnsi" w:cstheme="minorBidi"/>
          <w:color w:val="auto"/>
          <w:sz w:val="22"/>
          <w:szCs w:val="22"/>
          <w:lang w:val="en-US"/>
        </w:rPr>
        <w:t>Th</w:t>
      </w:r>
      <w:r w:rsidR="00F07E64">
        <w:rPr>
          <w:rFonts w:asciiTheme="minorHAnsi" w:hAnsiTheme="minorHAnsi" w:cstheme="minorBidi"/>
          <w:color w:val="auto"/>
          <w:sz w:val="22"/>
          <w:szCs w:val="22"/>
          <w:lang w:val="en-US"/>
        </w:rPr>
        <w:t>is</w:t>
      </w:r>
      <w:r w:rsidR="00F07E64" w:rsidRPr="005A0C0E">
        <w:rPr>
          <w:rFonts w:asciiTheme="minorHAnsi" w:hAnsiTheme="minorHAnsi" w:cstheme="minorBidi"/>
          <w:color w:val="auto"/>
          <w:sz w:val="22"/>
          <w:szCs w:val="22"/>
          <w:lang w:val="en-US"/>
        </w:rPr>
        <w:t xml:space="preserve"> </w:t>
      </w:r>
      <w:r w:rsidR="00EC6549" w:rsidRPr="005A0C0E">
        <w:rPr>
          <w:rFonts w:asciiTheme="minorHAnsi" w:hAnsiTheme="minorHAnsi" w:cstheme="minorBidi"/>
          <w:color w:val="auto"/>
          <w:sz w:val="22"/>
          <w:szCs w:val="22"/>
          <w:lang w:val="en-US"/>
        </w:rPr>
        <w:t>barrier can be attributed to the group methodology often applied in microfinance. For instance, in solidarity groups or village banks, the members themselves decide who</w:t>
      </w:r>
      <w:r w:rsidR="004B76E7" w:rsidRPr="005A0C0E">
        <w:rPr>
          <w:rFonts w:asciiTheme="minorHAnsi" w:hAnsiTheme="minorHAnsi" w:cstheme="minorBidi"/>
          <w:color w:val="auto"/>
          <w:sz w:val="22"/>
          <w:szCs w:val="22"/>
          <w:lang w:val="en-US"/>
        </w:rPr>
        <w:t>m</w:t>
      </w:r>
      <w:r w:rsidR="00EC6549" w:rsidRPr="005A0C0E">
        <w:rPr>
          <w:rFonts w:asciiTheme="minorHAnsi" w:hAnsiTheme="minorHAnsi" w:cstheme="minorBidi"/>
          <w:color w:val="auto"/>
          <w:sz w:val="22"/>
          <w:szCs w:val="22"/>
          <w:lang w:val="en-US"/>
        </w:rPr>
        <w:t xml:space="preserve"> to include in the group (</w:t>
      </w:r>
      <w:proofErr w:type="spellStart"/>
      <w:r w:rsidR="00EC6549" w:rsidRPr="005A0C0E">
        <w:rPr>
          <w:rFonts w:asciiTheme="minorHAnsi" w:hAnsiTheme="minorHAnsi" w:cstheme="minorBidi"/>
          <w:color w:val="auto"/>
          <w:sz w:val="22"/>
          <w:szCs w:val="22"/>
          <w:lang w:val="en-US"/>
        </w:rPr>
        <w:t>Bwire</w:t>
      </w:r>
      <w:proofErr w:type="spellEnd"/>
      <w:r w:rsidR="00EC6549" w:rsidRPr="005A0C0E">
        <w:rPr>
          <w:rFonts w:asciiTheme="minorHAnsi" w:hAnsiTheme="minorHAnsi" w:cstheme="minorBidi"/>
          <w:color w:val="auto"/>
          <w:sz w:val="22"/>
          <w:szCs w:val="22"/>
          <w:lang w:val="en-US"/>
        </w:rPr>
        <w:t xml:space="preserve"> et al</w:t>
      </w:r>
      <w:r w:rsidR="00FF6767" w:rsidRPr="005A0C0E">
        <w:rPr>
          <w:rFonts w:asciiTheme="minorHAnsi" w:hAnsiTheme="minorHAnsi" w:cstheme="minorBidi"/>
          <w:color w:val="auto"/>
          <w:sz w:val="22"/>
          <w:szCs w:val="22"/>
          <w:lang w:val="en-US"/>
        </w:rPr>
        <w:t>.</w:t>
      </w:r>
      <w:r w:rsidR="00EC6549" w:rsidRPr="005A0C0E">
        <w:rPr>
          <w:rFonts w:asciiTheme="minorHAnsi" w:hAnsiTheme="minorHAnsi" w:cstheme="minorBidi"/>
          <w:color w:val="auto"/>
          <w:sz w:val="22"/>
          <w:szCs w:val="22"/>
          <w:lang w:val="en-US"/>
        </w:rPr>
        <w:t>, 2009)</w:t>
      </w:r>
      <w:r w:rsidR="004F443E" w:rsidRPr="005A0C0E">
        <w:rPr>
          <w:rFonts w:asciiTheme="minorHAnsi" w:hAnsiTheme="minorHAnsi" w:cstheme="minorBidi"/>
          <w:color w:val="auto"/>
          <w:sz w:val="22"/>
          <w:szCs w:val="22"/>
          <w:lang w:val="en-US"/>
        </w:rPr>
        <w:t xml:space="preserve">. </w:t>
      </w:r>
      <w:proofErr w:type="spellStart"/>
      <w:r w:rsidR="000F33EF" w:rsidRPr="005A0C0E">
        <w:rPr>
          <w:rFonts w:asciiTheme="minorHAnsi" w:hAnsiTheme="minorHAnsi" w:cstheme="minorBidi"/>
          <w:color w:val="auto"/>
          <w:sz w:val="22"/>
          <w:szCs w:val="22"/>
          <w:lang w:val="en-US"/>
        </w:rPr>
        <w:t>Martinelli</w:t>
      </w:r>
      <w:proofErr w:type="spellEnd"/>
      <w:r w:rsidR="000F33EF" w:rsidRPr="005A0C0E">
        <w:rPr>
          <w:rFonts w:asciiTheme="minorHAnsi" w:hAnsiTheme="minorHAnsi" w:cstheme="minorBidi"/>
          <w:color w:val="auto"/>
          <w:sz w:val="22"/>
          <w:szCs w:val="22"/>
          <w:lang w:val="en-US"/>
        </w:rPr>
        <w:t xml:space="preserve"> and Mersland (2010) contend that a</w:t>
      </w:r>
      <w:r w:rsidR="005E1E96" w:rsidRPr="005A0C0E">
        <w:rPr>
          <w:rFonts w:asciiTheme="minorHAnsi" w:hAnsiTheme="minorHAnsi" w:cstheme="minorBidi"/>
          <w:color w:val="auto"/>
          <w:sz w:val="22"/>
          <w:szCs w:val="22"/>
          <w:lang w:val="en-US"/>
        </w:rPr>
        <w:t xml:space="preserve"> core element in group methodologies is that all members are jointly li</w:t>
      </w:r>
      <w:r w:rsidR="000F33EF" w:rsidRPr="005A0C0E">
        <w:rPr>
          <w:rFonts w:asciiTheme="minorHAnsi" w:hAnsiTheme="minorHAnsi" w:cstheme="minorBidi"/>
          <w:color w:val="auto"/>
          <w:sz w:val="22"/>
          <w:szCs w:val="22"/>
          <w:lang w:val="en-US"/>
        </w:rPr>
        <w:t>able for each individual’s loan</w:t>
      </w:r>
      <w:r w:rsidR="000C3E06" w:rsidRPr="005A0C0E">
        <w:rPr>
          <w:rFonts w:asciiTheme="minorHAnsi" w:hAnsiTheme="minorHAnsi" w:cstheme="minorBidi"/>
          <w:color w:val="auto"/>
          <w:sz w:val="22"/>
          <w:szCs w:val="22"/>
          <w:lang w:val="en-US"/>
        </w:rPr>
        <w:t xml:space="preserve"> and </w:t>
      </w:r>
      <w:r w:rsidR="000F33EF" w:rsidRPr="005A0C0E">
        <w:rPr>
          <w:rFonts w:asciiTheme="minorHAnsi" w:hAnsiTheme="minorHAnsi" w:cstheme="minorBidi"/>
          <w:color w:val="auto"/>
          <w:sz w:val="22"/>
          <w:szCs w:val="22"/>
          <w:lang w:val="en-US"/>
        </w:rPr>
        <w:t>“t</w:t>
      </w:r>
      <w:r w:rsidR="005E1E96" w:rsidRPr="005A0C0E">
        <w:rPr>
          <w:rFonts w:asciiTheme="minorHAnsi" w:hAnsiTheme="minorHAnsi" w:cstheme="minorBidi"/>
          <w:color w:val="auto"/>
          <w:sz w:val="22"/>
          <w:szCs w:val="22"/>
          <w:lang w:val="en-US"/>
        </w:rPr>
        <w:t>he poorer and the more vulnerable community members therefore tend to be excluded from such groups by ‘stronger’ persons</w:t>
      </w:r>
      <w:r w:rsidR="000F33EF" w:rsidRPr="005A0C0E">
        <w:rPr>
          <w:rFonts w:asciiTheme="minorHAnsi" w:hAnsiTheme="minorHAnsi" w:cstheme="minorBidi"/>
          <w:color w:val="auto"/>
          <w:sz w:val="22"/>
          <w:szCs w:val="22"/>
          <w:lang w:val="en-US"/>
        </w:rPr>
        <w:t>” (</w:t>
      </w:r>
      <w:proofErr w:type="spellStart"/>
      <w:r w:rsidR="000F33EF" w:rsidRPr="005A0C0E">
        <w:rPr>
          <w:rFonts w:asciiTheme="minorHAnsi" w:hAnsiTheme="minorHAnsi" w:cstheme="minorBidi"/>
          <w:color w:val="auto"/>
          <w:sz w:val="22"/>
          <w:szCs w:val="22"/>
          <w:lang w:val="en-US"/>
        </w:rPr>
        <w:t>Martinelli</w:t>
      </w:r>
      <w:proofErr w:type="spellEnd"/>
      <w:r w:rsidR="000F33EF" w:rsidRPr="005A0C0E">
        <w:rPr>
          <w:rFonts w:asciiTheme="minorHAnsi" w:hAnsiTheme="minorHAnsi" w:cstheme="minorBidi"/>
          <w:color w:val="auto"/>
          <w:sz w:val="22"/>
          <w:szCs w:val="22"/>
          <w:lang w:val="en-US"/>
        </w:rPr>
        <w:t xml:space="preserve"> and Mersland, 2010, p. 249)</w:t>
      </w:r>
      <w:r w:rsidR="005E1E96" w:rsidRPr="005A0C0E">
        <w:rPr>
          <w:rFonts w:asciiTheme="minorHAnsi" w:hAnsiTheme="minorHAnsi" w:cstheme="minorBidi"/>
          <w:color w:val="auto"/>
          <w:sz w:val="22"/>
          <w:szCs w:val="22"/>
          <w:lang w:val="en-US"/>
        </w:rPr>
        <w:t xml:space="preserve">. </w:t>
      </w:r>
    </w:p>
    <w:p w:rsidR="0077326C" w:rsidRPr="005A0C0E" w:rsidRDefault="005F5AC6" w:rsidP="0077326C">
      <w:pPr>
        <w:spacing w:line="480" w:lineRule="auto"/>
        <w:rPr>
          <w:lang w:val="en-US"/>
        </w:rPr>
      </w:pPr>
      <w:r w:rsidRPr="005A0C0E">
        <w:rPr>
          <w:lang w:val="en-US"/>
        </w:rPr>
        <w:t>Stigmatization</w:t>
      </w:r>
      <w:r w:rsidR="00641571" w:rsidRPr="005A0C0E">
        <w:rPr>
          <w:lang w:val="en-US"/>
        </w:rPr>
        <w:t xml:space="preserve">, discrimination </w:t>
      </w:r>
      <w:r w:rsidR="0077326C" w:rsidRPr="005A0C0E">
        <w:rPr>
          <w:lang w:val="en-US"/>
        </w:rPr>
        <w:t xml:space="preserve">and perceived risk </w:t>
      </w:r>
      <w:r w:rsidR="00641571" w:rsidRPr="005A0C0E">
        <w:rPr>
          <w:lang w:val="en-US"/>
        </w:rPr>
        <w:t>are</w:t>
      </w:r>
      <w:r w:rsidR="0077326C" w:rsidRPr="005A0C0E">
        <w:rPr>
          <w:lang w:val="en-US"/>
        </w:rPr>
        <w:t xml:space="preserve"> explanation</w:t>
      </w:r>
      <w:r w:rsidR="00641571" w:rsidRPr="005A0C0E">
        <w:rPr>
          <w:lang w:val="en-US"/>
        </w:rPr>
        <w:t>s</w:t>
      </w:r>
      <w:r w:rsidR="0077326C" w:rsidRPr="005A0C0E">
        <w:rPr>
          <w:lang w:val="en-US"/>
        </w:rPr>
        <w:t xml:space="preserve"> for the exclusion </w:t>
      </w:r>
      <w:r w:rsidR="00641571" w:rsidRPr="005A0C0E">
        <w:rPr>
          <w:lang w:val="en-US"/>
        </w:rPr>
        <w:t xml:space="preserve">caused by the staff </w:t>
      </w:r>
      <w:r w:rsidR="00BE4EA4" w:rsidRPr="005A0C0E">
        <w:rPr>
          <w:lang w:val="en-US"/>
        </w:rPr>
        <w:t xml:space="preserve">of microfinance institutions (MFI) </w:t>
      </w:r>
      <w:r w:rsidR="00641571" w:rsidRPr="005A0C0E">
        <w:rPr>
          <w:lang w:val="en-US"/>
        </w:rPr>
        <w:t xml:space="preserve">and especially by </w:t>
      </w:r>
      <w:r w:rsidR="00BE4EA4" w:rsidRPr="005A0C0E">
        <w:rPr>
          <w:lang w:val="en-US"/>
        </w:rPr>
        <w:t xml:space="preserve">their </w:t>
      </w:r>
      <w:r w:rsidR="00641571" w:rsidRPr="005A0C0E">
        <w:rPr>
          <w:lang w:val="en-US"/>
        </w:rPr>
        <w:t xml:space="preserve">credit officers (Labie et al., 2010). </w:t>
      </w:r>
      <w:proofErr w:type="spellStart"/>
      <w:r w:rsidR="0077326C" w:rsidRPr="005A0C0E">
        <w:rPr>
          <w:lang w:val="en-US"/>
        </w:rPr>
        <w:t>Bwire</w:t>
      </w:r>
      <w:proofErr w:type="spellEnd"/>
      <w:r w:rsidR="0077326C" w:rsidRPr="005A0C0E">
        <w:rPr>
          <w:lang w:val="en-US"/>
        </w:rPr>
        <w:t xml:space="preserve"> et al. (2009) contend that credit officers are often not able to </w:t>
      </w:r>
      <w:r w:rsidR="00F07E64" w:rsidRPr="00B624A8">
        <w:rPr>
          <w:lang w:val="en-US"/>
        </w:rPr>
        <w:t>“</w:t>
      </w:r>
      <w:r w:rsidR="0077326C" w:rsidRPr="005A0C0E">
        <w:rPr>
          <w:lang w:val="en-US"/>
        </w:rPr>
        <w:t xml:space="preserve">see </w:t>
      </w:r>
      <w:r w:rsidRPr="005A0C0E">
        <w:rPr>
          <w:lang w:val="en-US"/>
        </w:rPr>
        <w:t>past</w:t>
      </w:r>
      <w:r w:rsidR="00F07E64" w:rsidRPr="00B624A8">
        <w:rPr>
          <w:lang w:val="en-US"/>
        </w:rPr>
        <w:t>”</w:t>
      </w:r>
      <w:r w:rsidR="0077326C" w:rsidRPr="005A0C0E">
        <w:rPr>
          <w:lang w:val="en-US"/>
        </w:rPr>
        <w:t xml:space="preserve"> the disability and </w:t>
      </w:r>
      <w:r w:rsidRPr="005A0C0E">
        <w:rPr>
          <w:lang w:val="en-US"/>
        </w:rPr>
        <w:t>recognize</w:t>
      </w:r>
      <w:r w:rsidR="0077326C" w:rsidRPr="005A0C0E">
        <w:rPr>
          <w:lang w:val="en-US"/>
        </w:rPr>
        <w:t xml:space="preserve"> the real working ability of a person with </w:t>
      </w:r>
      <w:r w:rsidR="00F07E64" w:rsidRPr="00B624A8">
        <w:rPr>
          <w:lang w:val="en-US"/>
        </w:rPr>
        <w:t xml:space="preserve">a </w:t>
      </w:r>
      <w:r w:rsidR="0077326C" w:rsidRPr="005A0C0E">
        <w:rPr>
          <w:lang w:val="en-US"/>
        </w:rPr>
        <w:t>disability</w:t>
      </w:r>
      <w:r w:rsidR="003A059B" w:rsidRPr="005A0C0E">
        <w:rPr>
          <w:lang w:val="en-US"/>
        </w:rPr>
        <w:t xml:space="preserve">; </w:t>
      </w:r>
      <w:r w:rsidR="0077326C" w:rsidRPr="005A0C0E">
        <w:rPr>
          <w:lang w:val="en-US"/>
        </w:rPr>
        <w:t>thus</w:t>
      </w:r>
      <w:r w:rsidR="003A059B" w:rsidRPr="005A0C0E">
        <w:rPr>
          <w:lang w:val="en-US"/>
        </w:rPr>
        <w:t>,</w:t>
      </w:r>
      <w:r w:rsidR="0077326C" w:rsidRPr="005A0C0E">
        <w:rPr>
          <w:lang w:val="en-US"/>
        </w:rPr>
        <w:t xml:space="preserve"> </w:t>
      </w:r>
      <w:r w:rsidR="00EF4549" w:rsidRPr="005A0C0E">
        <w:rPr>
          <w:lang w:val="en-US"/>
        </w:rPr>
        <w:t xml:space="preserve">the </w:t>
      </w:r>
      <w:r w:rsidR="0077326C" w:rsidRPr="005A0C0E">
        <w:rPr>
          <w:lang w:val="en-US"/>
        </w:rPr>
        <w:t>staff fails</w:t>
      </w:r>
      <w:r w:rsidR="00EF4549" w:rsidRPr="005A0C0E">
        <w:rPr>
          <w:lang w:val="en-US"/>
        </w:rPr>
        <w:t xml:space="preserve"> </w:t>
      </w:r>
      <w:r w:rsidR="0077326C" w:rsidRPr="005A0C0E">
        <w:rPr>
          <w:lang w:val="en-US"/>
        </w:rPr>
        <w:t xml:space="preserve">to distinguish between real credit risk and perceived credit risk. </w:t>
      </w:r>
      <w:r w:rsidR="00EF4549" w:rsidRPr="005A0C0E">
        <w:rPr>
          <w:lang w:val="en-US"/>
        </w:rPr>
        <w:t xml:space="preserve">It is also suggested that </w:t>
      </w:r>
      <w:r w:rsidR="003A059B" w:rsidRPr="005A0C0E">
        <w:rPr>
          <w:lang w:val="en-US"/>
        </w:rPr>
        <w:t>if</w:t>
      </w:r>
      <w:r w:rsidR="00EF4549" w:rsidRPr="005A0C0E">
        <w:rPr>
          <w:lang w:val="en-US"/>
        </w:rPr>
        <w:t xml:space="preserve"> group methodologies are practiced, prejudiced staff may cause increased levels of exclusion by other </w:t>
      </w:r>
      <w:r w:rsidR="0021084A" w:rsidRPr="005A0C0E">
        <w:rPr>
          <w:lang w:val="en-US"/>
        </w:rPr>
        <w:t>group members</w:t>
      </w:r>
      <w:r w:rsidR="00EF4549" w:rsidRPr="005A0C0E">
        <w:rPr>
          <w:lang w:val="en-US"/>
        </w:rPr>
        <w:t xml:space="preserve"> (</w:t>
      </w:r>
      <w:proofErr w:type="spellStart"/>
      <w:r w:rsidR="00EF4549" w:rsidRPr="005A0C0E">
        <w:rPr>
          <w:lang w:val="en-US"/>
        </w:rPr>
        <w:t>Martinelli</w:t>
      </w:r>
      <w:proofErr w:type="spellEnd"/>
      <w:r w:rsidR="00EF4549" w:rsidRPr="005A0C0E">
        <w:rPr>
          <w:lang w:val="en-US"/>
        </w:rPr>
        <w:t xml:space="preserve"> and Mersland, 20</w:t>
      </w:r>
      <w:r w:rsidR="004C56C7" w:rsidRPr="005A0C0E">
        <w:rPr>
          <w:lang w:val="en-US"/>
        </w:rPr>
        <w:t>10</w:t>
      </w:r>
      <w:r w:rsidR="00EF4549" w:rsidRPr="005A0C0E">
        <w:rPr>
          <w:lang w:val="en-US"/>
        </w:rPr>
        <w:t>).</w:t>
      </w:r>
    </w:p>
    <w:p w:rsidR="00BA35B7" w:rsidRPr="005A0C0E" w:rsidRDefault="00BA35B7" w:rsidP="0021084A">
      <w:pPr>
        <w:pStyle w:val="Default"/>
        <w:spacing w:after="240" w:line="480" w:lineRule="auto"/>
        <w:rPr>
          <w:rFonts w:asciiTheme="minorHAnsi" w:hAnsiTheme="minorHAnsi" w:cstheme="minorBidi"/>
          <w:color w:val="auto"/>
          <w:sz w:val="22"/>
          <w:szCs w:val="22"/>
          <w:lang w:val="en-US"/>
        </w:rPr>
      </w:pPr>
      <w:r w:rsidRPr="005A0C0E">
        <w:rPr>
          <w:rFonts w:asciiTheme="minorHAnsi" w:hAnsiTheme="minorHAnsi" w:cstheme="minorBidi"/>
          <w:color w:val="auto"/>
          <w:sz w:val="22"/>
          <w:szCs w:val="22"/>
          <w:lang w:val="en-US"/>
        </w:rPr>
        <w:t xml:space="preserve">Exclusion by service design, often referred to as credit design, is </w:t>
      </w:r>
      <w:r w:rsidR="00533FD2" w:rsidRPr="005A0C0E">
        <w:rPr>
          <w:rFonts w:asciiTheme="minorHAnsi" w:hAnsiTheme="minorHAnsi" w:cstheme="minorBidi"/>
          <w:color w:val="auto"/>
          <w:sz w:val="22"/>
          <w:szCs w:val="22"/>
          <w:lang w:val="en-US"/>
        </w:rPr>
        <w:t>also a potentially important barrier</w:t>
      </w:r>
      <w:r w:rsidR="00F07E64">
        <w:rPr>
          <w:rFonts w:asciiTheme="minorHAnsi" w:hAnsiTheme="minorHAnsi" w:cstheme="minorBidi"/>
          <w:color w:val="auto"/>
          <w:sz w:val="22"/>
          <w:szCs w:val="22"/>
          <w:lang w:val="en-US"/>
        </w:rPr>
        <w:t xml:space="preserve"> for persons with disabilities</w:t>
      </w:r>
      <w:r w:rsidRPr="005A0C0E">
        <w:rPr>
          <w:rFonts w:asciiTheme="minorHAnsi" w:hAnsiTheme="minorHAnsi" w:cstheme="minorBidi"/>
          <w:color w:val="auto"/>
          <w:sz w:val="22"/>
          <w:szCs w:val="22"/>
          <w:lang w:val="en-US"/>
        </w:rPr>
        <w:t xml:space="preserve">. Microfinance products are often designed for non-disabled clients and do not acknowledge that </w:t>
      </w:r>
      <w:r w:rsidR="00B379D9" w:rsidRPr="005A0C0E">
        <w:rPr>
          <w:rFonts w:asciiTheme="minorHAnsi" w:hAnsiTheme="minorHAnsi" w:cstheme="minorBidi"/>
          <w:color w:val="auto"/>
          <w:sz w:val="22"/>
          <w:szCs w:val="22"/>
          <w:lang w:val="en-US"/>
        </w:rPr>
        <w:t>persons with disabilities</w:t>
      </w:r>
      <w:r w:rsidRPr="005A0C0E">
        <w:rPr>
          <w:rFonts w:asciiTheme="minorHAnsi" w:hAnsiTheme="minorHAnsi" w:cstheme="minorBidi"/>
          <w:color w:val="auto"/>
          <w:sz w:val="22"/>
          <w:szCs w:val="22"/>
          <w:lang w:val="en-US"/>
        </w:rPr>
        <w:t xml:space="preserve"> may have </w:t>
      </w:r>
      <w:r w:rsidR="000B3FA3" w:rsidRPr="005A0C0E">
        <w:rPr>
          <w:rFonts w:asciiTheme="minorHAnsi" w:hAnsiTheme="minorHAnsi" w:cstheme="minorBidi"/>
          <w:color w:val="auto"/>
          <w:sz w:val="22"/>
          <w:szCs w:val="22"/>
          <w:lang w:val="en-US"/>
        </w:rPr>
        <w:t xml:space="preserve">particular </w:t>
      </w:r>
      <w:r w:rsidRPr="005A0C0E">
        <w:rPr>
          <w:rFonts w:asciiTheme="minorHAnsi" w:hAnsiTheme="minorHAnsi" w:cstheme="minorBidi"/>
          <w:color w:val="auto"/>
          <w:sz w:val="22"/>
          <w:szCs w:val="22"/>
          <w:lang w:val="en-US"/>
        </w:rPr>
        <w:t xml:space="preserve">needs. For instance, </w:t>
      </w:r>
      <w:r w:rsidR="00AE5227">
        <w:rPr>
          <w:rFonts w:asciiTheme="minorHAnsi" w:hAnsiTheme="minorHAnsi" w:cstheme="minorBidi"/>
          <w:color w:val="auto"/>
          <w:sz w:val="22"/>
          <w:szCs w:val="22"/>
          <w:lang w:val="en-US"/>
        </w:rPr>
        <w:t xml:space="preserve">frequent </w:t>
      </w:r>
      <w:r w:rsidR="003A059B" w:rsidRPr="005A0C0E">
        <w:rPr>
          <w:rFonts w:asciiTheme="minorHAnsi" w:hAnsiTheme="minorHAnsi" w:cstheme="minorBidi"/>
          <w:color w:val="auto"/>
          <w:sz w:val="22"/>
          <w:szCs w:val="22"/>
          <w:lang w:val="en-US"/>
        </w:rPr>
        <w:t>installments</w:t>
      </w:r>
      <w:r w:rsidR="0021084A" w:rsidRPr="005A0C0E">
        <w:rPr>
          <w:rFonts w:asciiTheme="minorHAnsi" w:hAnsiTheme="minorHAnsi" w:cstheme="minorBidi"/>
          <w:color w:val="auto"/>
          <w:sz w:val="22"/>
          <w:szCs w:val="22"/>
          <w:lang w:val="en-US"/>
        </w:rPr>
        <w:t xml:space="preserve"> on</w:t>
      </w:r>
      <w:r w:rsidRPr="005A0C0E">
        <w:rPr>
          <w:rFonts w:asciiTheme="minorHAnsi" w:hAnsiTheme="minorHAnsi" w:cstheme="minorBidi"/>
          <w:color w:val="auto"/>
          <w:sz w:val="22"/>
          <w:szCs w:val="22"/>
          <w:lang w:val="en-US"/>
        </w:rPr>
        <w:t xml:space="preserve"> loans may </w:t>
      </w:r>
      <w:r w:rsidR="00F07E64">
        <w:rPr>
          <w:rFonts w:asciiTheme="minorHAnsi" w:hAnsiTheme="minorHAnsi" w:cstheme="minorBidi"/>
          <w:color w:val="auto"/>
          <w:sz w:val="22"/>
          <w:szCs w:val="22"/>
          <w:lang w:val="en-US"/>
        </w:rPr>
        <w:t xml:space="preserve">all </w:t>
      </w:r>
      <w:r w:rsidR="00F07E64" w:rsidRPr="005A0C0E">
        <w:rPr>
          <w:rFonts w:asciiTheme="minorHAnsi" w:hAnsiTheme="minorHAnsi" w:cstheme="minorBidi"/>
          <w:color w:val="auto"/>
          <w:sz w:val="22"/>
          <w:szCs w:val="22"/>
          <w:lang w:val="en-US"/>
        </w:rPr>
        <w:t xml:space="preserve">too often </w:t>
      </w:r>
      <w:r w:rsidRPr="005A0C0E">
        <w:rPr>
          <w:rFonts w:asciiTheme="minorHAnsi" w:hAnsiTheme="minorHAnsi" w:cstheme="minorBidi"/>
          <w:color w:val="auto"/>
          <w:sz w:val="22"/>
          <w:szCs w:val="22"/>
          <w:lang w:val="en-US"/>
        </w:rPr>
        <w:t>represent an insurmountable hurdle for persons with various physical handicaps and reduced mobility</w:t>
      </w:r>
      <w:r w:rsidR="000B3FA3" w:rsidRPr="005A0C0E">
        <w:rPr>
          <w:rFonts w:asciiTheme="minorHAnsi" w:hAnsiTheme="minorHAnsi" w:cstheme="minorBidi"/>
          <w:color w:val="auto"/>
          <w:sz w:val="22"/>
          <w:szCs w:val="22"/>
          <w:lang w:val="en-US"/>
        </w:rPr>
        <w:t xml:space="preserve"> </w:t>
      </w:r>
      <w:r w:rsidR="003A059B" w:rsidRPr="005A0C0E">
        <w:rPr>
          <w:rFonts w:asciiTheme="minorHAnsi" w:hAnsiTheme="minorHAnsi" w:cstheme="minorBidi"/>
          <w:color w:val="auto"/>
          <w:sz w:val="22"/>
          <w:szCs w:val="22"/>
          <w:lang w:val="en-US"/>
        </w:rPr>
        <w:t>if</w:t>
      </w:r>
      <w:r w:rsidR="000B3FA3" w:rsidRPr="005A0C0E">
        <w:rPr>
          <w:rFonts w:asciiTheme="minorHAnsi" w:hAnsiTheme="minorHAnsi" w:cstheme="minorBidi"/>
          <w:color w:val="auto"/>
          <w:sz w:val="22"/>
          <w:szCs w:val="22"/>
          <w:lang w:val="en-US"/>
        </w:rPr>
        <w:t xml:space="preserve"> they have to pay in person</w:t>
      </w:r>
      <w:r w:rsidRPr="005A0C0E">
        <w:rPr>
          <w:rFonts w:asciiTheme="minorHAnsi" w:hAnsiTheme="minorHAnsi" w:cstheme="minorBidi"/>
          <w:color w:val="auto"/>
          <w:sz w:val="22"/>
          <w:szCs w:val="22"/>
          <w:lang w:val="en-US"/>
        </w:rPr>
        <w:t xml:space="preserve">. In general, according to Mersland and </w:t>
      </w:r>
      <w:proofErr w:type="spellStart"/>
      <w:r w:rsidRPr="005A0C0E">
        <w:rPr>
          <w:rFonts w:asciiTheme="minorHAnsi" w:hAnsiTheme="minorHAnsi" w:cstheme="minorBidi"/>
          <w:color w:val="auto"/>
          <w:sz w:val="22"/>
          <w:szCs w:val="22"/>
          <w:lang w:val="en-US"/>
        </w:rPr>
        <w:t>Martinelli</w:t>
      </w:r>
      <w:proofErr w:type="spellEnd"/>
      <w:r w:rsidRPr="005A0C0E">
        <w:rPr>
          <w:rFonts w:asciiTheme="minorHAnsi" w:hAnsiTheme="minorHAnsi" w:cstheme="minorBidi"/>
          <w:color w:val="auto"/>
          <w:sz w:val="22"/>
          <w:szCs w:val="22"/>
          <w:lang w:val="en-US"/>
        </w:rPr>
        <w:t xml:space="preserve"> (2010), the credit methodology is often too </w:t>
      </w:r>
      <w:r w:rsidR="00992C57" w:rsidRPr="005A0C0E">
        <w:rPr>
          <w:rFonts w:asciiTheme="minorHAnsi" w:hAnsiTheme="minorHAnsi" w:cstheme="minorBidi"/>
          <w:color w:val="auto"/>
          <w:sz w:val="22"/>
          <w:szCs w:val="22"/>
          <w:lang w:val="en-US"/>
        </w:rPr>
        <w:t>standardized</w:t>
      </w:r>
      <w:r w:rsidRPr="005A0C0E">
        <w:rPr>
          <w:rFonts w:asciiTheme="minorHAnsi" w:hAnsiTheme="minorHAnsi" w:cstheme="minorBidi"/>
          <w:color w:val="auto"/>
          <w:sz w:val="22"/>
          <w:szCs w:val="22"/>
          <w:lang w:val="en-US"/>
        </w:rPr>
        <w:t xml:space="preserve"> and inflexible, thereby hindering persons with disabilities from participat</w:t>
      </w:r>
      <w:r w:rsidRPr="005A0C0E">
        <w:rPr>
          <w:rFonts w:asciiTheme="minorHAnsi" w:hAnsiTheme="minorHAnsi" w:cstheme="minorBidi"/>
          <w:color w:val="auto"/>
          <w:sz w:val="22"/>
          <w:szCs w:val="22"/>
          <w:lang w:val="en-US"/>
        </w:rPr>
        <w:softHyphen/>
        <w:t>ing.</w:t>
      </w:r>
    </w:p>
    <w:p w:rsidR="00E86C0E" w:rsidRPr="005A0C0E" w:rsidRDefault="006828F0" w:rsidP="006828F0">
      <w:pPr>
        <w:spacing w:line="480" w:lineRule="auto"/>
        <w:rPr>
          <w:lang w:val="en-US"/>
        </w:rPr>
      </w:pPr>
      <w:r w:rsidRPr="005A0C0E">
        <w:rPr>
          <w:lang w:val="en-US"/>
        </w:rPr>
        <w:lastRenderedPageBreak/>
        <w:t xml:space="preserve">Irrespective of pure design issues, </w:t>
      </w:r>
      <w:r w:rsidR="002502B0">
        <w:rPr>
          <w:lang w:val="en-US"/>
        </w:rPr>
        <w:t xml:space="preserve">the </w:t>
      </w:r>
      <w:r w:rsidRPr="005A0C0E">
        <w:rPr>
          <w:lang w:val="en-US"/>
        </w:rPr>
        <w:t xml:space="preserve">disability itself can be a serious </w:t>
      </w:r>
      <w:r w:rsidR="002502B0" w:rsidRPr="005A0C0E">
        <w:rPr>
          <w:lang w:val="en-US"/>
        </w:rPr>
        <w:t>hind</w:t>
      </w:r>
      <w:r w:rsidR="002502B0">
        <w:rPr>
          <w:lang w:val="en-US"/>
        </w:rPr>
        <w:t>rance</w:t>
      </w:r>
      <w:r w:rsidRPr="005A0C0E">
        <w:rPr>
          <w:lang w:val="en-US"/>
        </w:rPr>
        <w:t xml:space="preserve"> for </w:t>
      </w:r>
      <w:r w:rsidR="00B379D9" w:rsidRPr="005A0C0E">
        <w:rPr>
          <w:lang w:val="en-US"/>
        </w:rPr>
        <w:t>persons with disabilities</w:t>
      </w:r>
      <w:r w:rsidRPr="005A0C0E">
        <w:rPr>
          <w:lang w:val="en-US"/>
        </w:rPr>
        <w:t>. Th</w:t>
      </w:r>
      <w:r w:rsidR="00635A92" w:rsidRPr="005A0C0E">
        <w:rPr>
          <w:lang w:val="en-US"/>
        </w:rPr>
        <w:t>is</w:t>
      </w:r>
      <w:r w:rsidRPr="005A0C0E">
        <w:rPr>
          <w:lang w:val="en-US"/>
        </w:rPr>
        <w:t xml:space="preserve"> </w:t>
      </w:r>
      <w:r w:rsidR="00635A92" w:rsidRPr="005A0C0E">
        <w:rPr>
          <w:lang w:val="en-US"/>
        </w:rPr>
        <w:t xml:space="preserve">exclusion mechanism </w:t>
      </w:r>
      <w:r w:rsidR="00EF0D62" w:rsidRPr="005A0C0E">
        <w:rPr>
          <w:lang w:val="en-US"/>
        </w:rPr>
        <w:t>is caused by</w:t>
      </w:r>
      <w:r w:rsidR="00E86C0E" w:rsidRPr="005A0C0E">
        <w:rPr>
          <w:lang w:val="en-US"/>
        </w:rPr>
        <w:t xml:space="preserve"> physical and informational barriers</w:t>
      </w:r>
      <w:r w:rsidRPr="005A0C0E">
        <w:rPr>
          <w:lang w:val="en-US"/>
        </w:rPr>
        <w:t xml:space="preserve"> (</w:t>
      </w:r>
      <w:proofErr w:type="spellStart"/>
      <w:r w:rsidRPr="005A0C0E">
        <w:rPr>
          <w:lang w:val="en-US"/>
        </w:rPr>
        <w:t>Bwire</w:t>
      </w:r>
      <w:proofErr w:type="spellEnd"/>
      <w:r w:rsidRPr="005A0C0E">
        <w:rPr>
          <w:lang w:val="en-US"/>
        </w:rPr>
        <w:t xml:space="preserve"> et al., 2009).</w:t>
      </w:r>
      <w:r w:rsidR="00E86C0E" w:rsidRPr="005A0C0E">
        <w:rPr>
          <w:lang w:val="en-US"/>
        </w:rPr>
        <w:t xml:space="preserve"> MFIs </w:t>
      </w:r>
      <w:r w:rsidR="00992C57" w:rsidRPr="005A0C0E">
        <w:rPr>
          <w:lang w:val="en-US"/>
        </w:rPr>
        <w:t>provide</w:t>
      </w:r>
      <w:r w:rsidR="00E86C0E" w:rsidRPr="005A0C0E">
        <w:rPr>
          <w:lang w:val="en-US"/>
        </w:rPr>
        <w:t xml:space="preserve"> information in both verbal and written form, inaccessible to many </w:t>
      </w:r>
      <w:r w:rsidR="001037C0" w:rsidRPr="005A0C0E">
        <w:rPr>
          <w:lang w:val="en-US"/>
        </w:rPr>
        <w:t>with visual or hearing impairments</w:t>
      </w:r>
      <w:r w:rsidR="00E86C0E" w:rsidRPr="005A0C0E">
        <w:rPr>
          <w:lang w:val="en-US"/>
        </w:rPr>
        <w:t xml:space="preserve">. </w:t>
      </w:r>
      <w:r w:rsidRPr="005A0C0E">
        <w:rPr>
          <w:lang w:val="en-US"/>
        </w:rPr>
        <w:t xml:space="preserve">Moreover, MFIs are often located </w:t>
      </w:r>
      <w:r w:rsidR="002502B0">
        <w:rPr>
          <w:lang w:val="en-US"/>
        </w:rPr>
        <w:t>such</w:t>
      </w:r>
      <w:r w:rsidR="002502B0" w:rsidRPr="005A0C0E">
        <w:rPr>
          <w:lang w:val="en-US"/>
        </w:rPr>
        <w:t xml:space="preserve"> </w:t>
      </w:r>
      <w:r w:rsidRPr="005A0C0E">
        <w:rPr>
          <w:lang w:val="en-US"/>
        </w:rPr>
        <w:t xml:space="preserve">that </w:t>
      </w:r>
      <w:r w:rsidR="00E86C0E" w:rsidRPr="005A0C0E">
        <w:rPr>
          <w:lang w:val="en-US"/>
        </w:rPr>
        <w:t xml:space="preserve">stairs have to be climbed </w:t>
      </w:r>
      <w:r w:rsidRPr="005A0C0E">
        <w:rPr>
          <w:lang w:val="en-US"/>
        </w:rPr>
        <w:t>or</w:t>
      </w:r>
      <w:r w:rsidR="00E86C0E" w:rsidRPr="005A0C0E">
        <w:rPr>
          <w:lang w:val="en-US"/>
        </w:rPr>
        <w:t xml:space="preserve"> crowds have to </w:t>
      </w:r>
      <w:r w:rsidR="00105F3B">
        <w:rPr>
          <w:lang w:val="en-US"/>
        </w:rPr>
        <w:t xml:space="preserve">be </w:t>
      </w:r>
      <w:r w:rsidR="00E86C0E" w:rsidRPr="005A0C0E">
        <w:rPr>
          <w:lang w:val="en-US"/>
        </w:rPr>
        <w:t>penetrated</w:t>
      </w:r>
      <w:r w:rsidRPr="005A0C0E">
        <w:rPr>
          <w:lang w:val="en-US"/>
        </w:rPr>
        <w:t xml:space="preserve"> to reach their premises</w:t>
      </w:r>
      <w:r w:rsidR="00E86C0E" w:rsidRPr="005A0C0E">
        <w:rPr>
          <w:lang w:val="en-US"/>
        </w:rPr>
        <w:t xml:space="preserve">. </w:t>
      </w:r>
    </w:p>
    <w:p w:rsidR="001037C0" w:rsidRPr="005A0C0E" w:rsidRDefault="0091506E" w:rsidP="006828F0">
      <w:pPr>
        <w:spacing w:line="480" w:lineRule="auto"/>
        <w:rPr>
          <w:b/>
          <w:lang w:val="en-US"/>
        </w:rPr>
      </w:pPr>
      <w:r>
        <w:rPr>
          <w:lang w:val="en-US"/>
        </w:rPr>
        <w:t>Finally</w:t>
      </w:r>
      <w:r w:rsidR="00BE4EA4" w:rsidRPr="005A0C0E">
        <w:rPr>
          <w:lang w:val="en-US"/>
        </w:rPr>
        <w:t>, although at first glance</w:t>
      </w:r>
      <w:r>
        <w:rPr>
          <w:lang w:val="en-US"/>
        </w:rPr>
        <w:t>,</w:t>
      </w:r>
      <w:r w:rsidR="00BE4EA4" w:rsidRPr="005A0C0E">
        <w:rPr>
          <w:lang w:val="en-US"/>
        </w:rPr>
        <w:t xml:space="preserve"> self-exclusion may appear as a peculiar barrier to the use of microfinance services, as explained by </w:t>
      </w:r>
      <w:proofErr w:type="spellStart"/>
      <w:r w:rsidR="00BE4EA4" w:rsidRPr="005A0C0E">
        <w:rPr>
          <w:lang w:val="en-US"/>
        </w:rPr>
        <w:t>Bwire</w:t>
      </w:r>
      <w:proofErr w:type="spellEnd"/>
      <w:r w:rsidR="00BE4EA4" w:rsidRPr="005A0C0E">
        <w:rPr>
          <w:lang w:val="en-US"/>
        </w:rPr>
        <w:t xml:space="preserve"> et al. (2009), persons with disabilities often experience </w:t>
      </w:r>
      <w:r w:rsidRPr="005A0C0E">
        <w:rPr>
          <w:lang w:val="en-US"/>
        </w:rPr>
        <w:t>rejectio</w:t>
      </w:r>
      <w:r>
        <w:rPr>
          <w:lang w:val="en-US"/>
        </w:rPr>
        <w:t>n</w:t>
      </w:r>
      <w:r w:rsidRPr="005A0C0E">
        <w:rPr>
          <w:lang w:val="en-US"/>
        </w:rPr>
        <w:t xml:space="preserve"> throug</w:t>
      </w:r>
      <w:r>
        <w:rPr>
          <w:lang w:val="en-US"/>
        </w:rPr>
        <w:t>hout</w:t>
      </w:r>
      <w:r w:rsidRPr="005A0C0E">
        <w:rPr>
          <w:lang w:val="en-US"/>
        </w:rPr>
        <w:t xml:space="preserve"> </w:t>
      </w:r>
      <w:r w:rsidR="00BE4EA4" w:rsidRPr="005A0C0E">
        <w:rPr>
          <w:lang w:val="en-US"/>
        </w:rPr>
        <w:t xml:space="preserve">life. Repeated exclusion produces low self-esteem, and low self-esteem often leads to self-exclusion from public and private services such as microfinance (ILO, 2002). Self-exclusion may also be attributed to the fact that some persons with disabilities and their families may have the expectation to constantly receive </w:t>
      </w:r>
      <w:r w:rsidR="00CC2201" w:rsidRPr="005A0C0E">
        <w:rPr>
          <w:lang w:val="en-US"/>
        </w:rPr>
        <w:t xml:space="preserve">grants </w:t>
      </w:r>
      <w:r w:rsidR="00BE4EA4" w:rsidRPr="005A0C0E">
        <w:rPr>
          <w:lang w:val="en-US"/>
        </w:rPr>
        <w:t xml:space="preserve">(Thomas, 2000) and are </w:t>
      </w:r>
      <w:r w:rsidRPr="005A0C0E">
        <w:rPr>
          <w:lang w:val="en-US"/>
        </w:rPr>
        <w:t xml:space="preserve">thus </w:t>
      </w:r>
      <w:r w:rsidR="00BE4EA4" w:rsidRPr="005A0C0E">
        <w:rPr>
          <w:lang w:val="en-US"/>
        </w:rPr>
        <w:t>unwilling to pay the interest rates demanded by sustainable microfinance institutions.</w:t>
      </w:r>
    </w:p>
    <w:p w:rsidR="00BC1CBD" w:rsidRPr="005A0C0E" w:rsidRDefault="00252DF2" w:rsidP="006828F0">
      <w:pPr>
        <w:spacing w:line="480" w:lineRule="auto"/>
        <w:rPr>
          <w:b/>
          <w:lang w:val="en-US"/>
        </w:rPr>
      </w:pPr>
      <w:r w:rsidRPr="005A0C0E">
        <w:rPr>
          <w:b/>
          <w:lang w:val="en-US"/>
        </w:rPr>
        <w:t>2.2. Empirical evidence</w:t>
      </w:r>
    </w:p>
    <w:p w:rsidR="00904019" w:rsidRPr="005A0C0E" w:rsidRDefault="000652F3" w:rsidP="006828F0">
      <w:pPr>
        <w:spacing w:line="480" w:lineRule="auto"/>
        <w:rPr>
          <w:lang w:val="en-US"/>
        </w:rPr>
      </w:pPr>
      <w:r w:rsidRPr="005A0C0E">
        <w:rPr>
          <w:lang w:val="en-US"/>
        </w:rPr>
        <w:t>One of the most comprehensive</w:t>
      </w:r>
      <w:r w:rsidR="00904019" w:rsidRPr="005A0C0E">
        <w:rPr>
          <w:lang w:val="en-US"/>
        </w:rPr>
        <w:t xml:space="preserve"> studies </w:t>
      </w:r>
      <w:r w:rsidR="00B42B19" w:rsidRPr="005A0C0E">
        <w:rPr>
          <w:lang w:val="en-US"/>
        </w:rPr>
        <w:t>on</w:t>
      </w:r>
      <w:r w:rsidR="00904019" w:rsidRPr="005A0C0E">
        <w:rPr>
          <w:lang w:val="en-US"/>
        </w:rPr>
        <w:t xml:space="preserve"> microfinance and disability </w:t>
      </w:r>
      <w:r w:rsidR="0091506E">
        <w:rPr>
          <w:lang w:val="en-US"/>
        </w:rPr>
        <w:t>was</w:t>
      </w:r>
      <w:r w:rsidR="0091506E" w:rsidRPr="005A0C0E">
        <w:rPr>
          <w:lang w:val="en-US"/>
        </w:rPr>
        <w:t xml:space="preserve"> </w:t>
      </w:r>
      <w:r w:rsidR="00254280" w:rsidRPr="005A0C0E">
        <w:rPr>
          <w:lang w:val="en-US"/>
        </w:rPr>
        <w:t xml:space="preserve">conducted </w:t>
      </w:r>
      <w:r w:rsidR="00904019" w:rsidRPr="005A0C0E">
        <w:rPr>
          <w:lang w:val="en-US"/>
        </w:rPr>
        <w:t xml:space="preserve">by Handicap International (2006). </w:t>
      </w:r>
      <w:r w:rsidR="00AC38CD" w:rsidRPr="005A0C0E">
        <w:rPr>
          <w:lang w:val="en-US"/>
        </w:rPr>
        <w:t xml:space="preserve">The empirical part of the study covers survey evidence from South Asia, East Africa and Central America and field visits in </w:t>
      </w:r>
      <w:r w:rsidR="00904019" w:rsidRPr="005A0C0E">
        <w:rPr>
          <w:lang w:val="en-US"/>
        </w:rPr>
        <w:t>7 countries; Afgh</w:t>
      </w:r>
      <w:r w:rsidR="00AC38CD" w:rsidRPr="005A0C0E">
        <w:rPr>
          <w:lang w:val="en-US"/>
        </w:rPr>
        <w:t xml:space="preserve">anistan, Bangladesh, Ethiopia, </w:t>
      </w:r>
      <w:r w:rsidR="00904019" w:rsidRPr="005A0C0E">
        <w:rPr>
          <w:lang w:val="en-US"/>
        </w:rPr>
        <w:t xml:space="preserve">India, Kenya, Nicaragua, and Uganda. </w:t>
      </w:r>
      <w:r w:rsidR="00ED00FF" w:rsidRPr="005A0C0E">
        <w:rPr>
          <w:lang w:val="en-US"/>
        </w:rPr>
        <w:t>Generally, surveyed MFIs indicated that they did not discriminate against persons with disabilities</w:t>
      </w:r>
      <w:r w:rsidR="000B3FA3" w:rsidRPr="005A0C0E">
        <w:rPr>
          <w:lang w:val="en-US"/>
        </w:rPr>
        <w:t>,</w:t>
      </w:r>
      <w:r w:rsidR="00ED00FF" w:rsidRPr="005A0C0E">
        <w:rPr>
          <w:lang w:val="en-US"/>
        </w:rPr>
        <w:t xml:space="preserve"> </w:t>
      </w:r>
      <w:r w:rsidR="0091506E">
        <w:rPr>
          <w:lang w:val="en-US"/>
        </w:rPr>
        <w:t>alt</w:t>
      </w:r>
      <w:r w:rsidR="0091506E" w:rsidRPr="005A0C0E">
        <w:rPr>
          <w:lang w:val="en-US"/>
        </w:rPr>
        <w:t xml:space="preserve">hough </w:t>
      </w:r>
      <w:r w:rsidR="00ED00FF" w:rsidRPr="005A0C0E">
        <w:rPr>
          <w:lang w:val="en-US"/>
        </w:rPr>
        <w:t xml:space="preserve">this segment was not their target population. </w:t>
      </w:r>
      <w:r w:rsidR="00577008" w:rsidRPr="005A0C0E">
        <w:rPr>
          <w:lang w:val="en-US"/>
        </w:rPr>
        <w:t>Th</w:t>
      </w:r>
      <w:r w:rsidR="00ED00FF" w:rsidRPr="005A0C0E">
        <w:rPr>
          <w:lang w:val="en-US"/>
        </w:rPr>
        <w:t>us,</w:t>
      </w:r>
      <w:r w:rsidR="00577008" w:rsidRPr="005A0C0E">
        <w:rPr>
          <w:lang w:val="en-US"/>
        </w:rPr>
        <w:t xml:space="preserve"> only 0-0.5% of the costumers of the surveyed </w:t>
      </w:r>
      <w:r w:rsidR="00ED00FF" w:rsidRPr="005A0C0E">
        <w:rPr>
          <w:lang w:val="en-US"/>
        </w:rPr>
        <w:t>MFIs</w:t>
      </w:r>
      <w:r w:rsidR="00802D07" w:rsidRPr="005A0C0E">
        <w:rPr>
          <w:lang w:val="en-US"/>
        </w:rPr>
        <w:t xml:space="preserve"> had a disability. Even if this number may be somewhat underestimated because many of the institutions do not </w:t>
      </w:r>
      <w:r w:rsidR="000B3FA3" w:rsidRPr="005A0C0E">
        <w:rPr>
          <w:lang w:val="en-US"/>
        </w:rPr>
        <w:t>track disability status</w:t>
      </w:r>
      <w:r w:rsidR="00802D07" w:rsidRPr="005A0C0E">
        <w:rPr>
          <w:lang w:val="en-US"/>
        </w:rPr>
        <w:t xml:space="preserve">, the percentage </w:t>
      </w:r>
      <w:r w:rsidR="00974ECE" w:rsidRPr="005A0C0E">
        <w:rPr>
          <w:lang w:val="en-US"/>
        </w:rPr>
        <w:t xml:space="preserve">was </w:t>
      </w:r>
      <w:r w:rsidR="00802D07" w:rsidRPr="005A0C0E">
        <w:rPr>
          <w:lang w:val="en-US"/>
        </w:rPr>
        <w:t>as low as 0</w:t>
      </w:r>
      <w:r w:rsidR="00D81C03" w:rsidRPr="005A0C0E">
        <w:rPr>
          <w:lang w:val="en-US"/>
        </w:rPr>
        <w:t xml:space="preserve"> to </w:t>
      </w:r>
      <w:r w:rsidR="00802D07" w:rsidRPr="005A0C0E">
        <w:rPr>
          <w:lang w:val="en-US"/>
        </w:rPr>
        <w:t>2%</w:t>
      </w:r>
      <w:r w:rsidR="0091506E">
        <w:rPr>
          <w:lang w:val="en-US"/>
        </w:rPr>
        <w:t>,</w:t>
      </w:r>
      <w:r w:rsidR="00802D07" w:rsidRPr="005A0C0E">
        <w:rPr>
          <w:lang w:val="en-US"/>
        </w:rPr>
        <w:t xml:space="preserve"> even for </w:t>
      </w:r>
      <w:r w:rsidR="006423FE" w:rsidRPr="005A0C0E">
        <w:rPr>
          <w:lang w:val="en-US"/>
        </w:rPr>
        <w:t>organizations</w:t>
      </w:r>
      <w:r w:rsidR="00802D07" w:rsidRPr="005A0C0E">
        <w:rPr>
          <w:lang w:val="en-US"/>
        </w:rPr>
        <w:t xml:space="preserve"> that kept track or could identify the clients with disabilities (Handicap</w:t>
      </w:r>
      <w:r w:rsidR="00660629" w:rsidRPr="005A0C0E">
        <w:rPr>
          <w:lang w:val="en-US"/>
        </w:rPr>
        <w:t xml:space="preserve"> </w:t>
      </w:r>
      <w:r w:rsidR="00802D07" w:rsidRPr="005A0C0E">
        <w:rPr>
          <w:lang w:val="en-US"/>
        </w:rPr>
        <w:t>International, 2006).</w:t>
      </w:r>
      <w:r w:rsidR="000A3776" w:rsidRPr="005A0C0E">
        <w:rPr>
          <w:lang w:val="en-US"/>
        </w:rPr>
        <w:t xml:space="preserve"> A general finding is that </w:t>
      </w:r>
      <w:proofErr w:type="spellStart"/>
      <w:r w:rsidR="0091506E" w:rsidRPr="005A0C0E">
        <w:rPr>
          <w:lang w:val="en-US"/>
        </w:rPr>
        <w:t>microfinanc</w:t>
      </w:r>
      <w:r w:rsidR="0091506E">
        <w:rPr>
          <w:lang w:val="en-US"/>
        </w:rPr>
        <w:t>iers</w:t>
      </w:r>
      <w:proofErr w:type="spellEnd"/>
      <w:r w:rsidR="0091506E" w:rsidRPr="005A0C0E">
        <w:rPr>
          <w:lang w:val="en-US"/>
        </w:rPr>
        <w:t xml:space="preserve"> </w:t>
      </w:r>
      <w:r w:rsidR="006423FE" w:rsidRPr="005A0C0E">
        <w:rPr>
          <w:lang w:val="en-US"/>
        </w:rPr>
        <w:t>with a</w:t>
      </w:r>
      <w:r w:rsidR="000A3776" w:rsidRPr="005A0C0E">
        <w:rPr>
          <w:lang w:val="en-US"/>
        </w:rPr>
        <w:t xml:space="preserve"> higher outreach to persons with disabilities are usually those</w:t>
      </w:r>
      <w:r w:rsidR="006423FE" w:rsidRPr="005A0C0E">
        <w:rPr>
          <w:lang w:val="en-US"/>
        </w:rPr>
        <w:t xml:space="preserve"> providers</w:t>
      </w:r>
      <w:r w:rsidR="000A3776" w:rsidRPr="005A0C0E">
        <w:rPr>
          <w:lang w:val="en-US"/>
        </w:rPr>
        <w:t xml:space="preserve"> for which poverty</w:t>
      </w:r>
      <w:r w:rsidR="006423FE" w:rsidRPr="005A0C0E">
        <w:rPr>
          <w:lang w:val="en-US"/>
        </w:rPr>
        <w:t xml:space="preserve"> </w:t>
      </w:r>
      <w:r w:rsidR="000A3776" w:rsidRPr="005A0C0E">
        <w:rPr>
          <w:lang w:val="en-US"/>
        </w:rPr>
        <w:t xml:space="preserve">alleviation is a main objective. </w:t>
      </w:r>
    </w:p>
    <w:p w:rsidR="00873833" w:rsidRPr="005A0C0E" w:rsidRDefault="00ED00FF" w:rsidP="006828F0">
      <w:pPr>
        <w:spacing w:line="480" w:lineRule="auto"/>
        <w:rPr>
          <w:lang w:val="en-US"/>
        </w:rPr>
      </w:pPr>
      <w:r w:rsidRPr="005A0C0E">
        <w:rPr>
          <w:lang w:val="en-US"/>
        </w:rPr>
        <w:lastRenderedPageBreak/>
        <w:t xml:space="preserve">Another finding in the </w:t>
      </w:r>
      <w:r w:rsidR="00802D07" w:rsidRPr="005A0C0E">
        <w:rPr>
          <w:lang w:val="en-US"/>
        </w:rPr>
        <w:t>Handi</w:t>
      </w:r>
      <w:r w:rsidRPr="005A0C0E">
        <w:rPr>
          <w:lang w:val="en-US"/>
        </w:rPr>
        <w:t>cap</w:t>
      </w:r>
      <w:r w:rsidR="00660629" w:rsidRPr="005A0C0E">
        <w:rPr>
          <w:lang w:val="en-US"/>
        </w:rPr>
        <w:t xml:space="preserve"> </w:t>
      </w:r>
      <w:r w:rsidRPr="005A0C0E">
        <w:rPr>
          <w:lang w:val="en-US"/>
        </w:rPr>
        <w:t>International (2006) study is that in addition to MFIs</w:t>
      </w:r>
      <w:r w:rsidR="002027A9" w:rsidRPr="005A0C0E">
        <w:rPr>
          <w:lang w:val="en-US"/>
        </w:rPr>
        <w:t>,</w:t>
      </w:r>
      <w:r w:rsidRPr="005A0C0E">
        <w:rPr>
          <w:lang w:val="en-US"/>
        </w:rPr>
        <w:t xml:space="preserve"> many </w:t>
      </w:r>
      <w:r w:rsidR="00B379D9" w:rsidRPr="005A0C0E">
        <w:rPr>
          <w:lang w:val="en-US"/>
        </w:rPr>
        <w:t>Disabled Persons’</w:t>
      </w:r>
      <w:r w:rsidRPr="005A0C0E">
        <w:rPr>
          <w:lang w:val="en-US"/>
        </w:rPr>
        <w:t xml:space="preserve"> Organizations (DPOs) operate credit </w:t>
      </w:r>
      <w:r w:rsidR="006646D5" w:rsidRPr="005A0C0E">
        <w:rPr>
          <w:lang w:val="en-US"/>
        </w:rPr>
        <w:t>schemes for</w:t>
      </w:r>
      <w:r w:rsidRPr="005A0C0E">
        <w:rPr>
          <w:lang w:val="en-US"/>
        </w:rPr>
        <w:t xml:space="preserve"> their members. These </w:t>
      </w:r>
      <w:r w:rsidR="006646D5" w:rsidRPr="005A0C0E">
        <w:rPr>
          <w:lang w:val="en-US"/>
        </w:rPr>
        <w:t>schemes</w:t>
      </w:r>
      <w:r w:rsidRPr="005A0C0E">
        <w:rPr>
          <w:lang w:val="en-US"/>
        </w:rPr>
        <w:t xml:space="preserve"> are generally very small</w:t>
      </w:r>
      <w:r w:rsidR="006646D5" w:rsidRPr="005A0C0E">
        <w:rPr>
          <w:lang w:val="en-US"/>
        </w:rPr>
        <w:t xml:space="preserve"> (often serving only </w:t>
      </w:r>
      <w:r w:rsidR="00C63BDD" w:rsidRPr="005A0C0E">
        <w:rPr>
          <w:lang w:val="en-US"/>
        </w:rPr>
        <w:t>some</w:t>
      </w:r>
      <w:r w:rsidR="006646D5" w:rsidRPr="005A0C0E">
        <w:rPr>
          <w:lang w:val="en-US"/>
        </w:rPr>
        <w:t xml:space="preserve"> handfuls of persons)</w:t>
      </w:r>
      <w:r w:rsidRPr="005A0C0E">
        <w:rPr>
          <w:lang w:val="en-US"/>
        </w:rPr>
        <w:t>, often rural based and not financially sustainable.</w:t>
      </w:r>
      <w:r w:rsidR="00802D07" w:rsidRPr="005A0C0E">
        <w:rPr>
          <w:lang w:val="en-US"/>
        </w:rPr>
        <w:t xml:space="preserve"> </w:t>
      </w:r>
      <w:r w:rsidR="006646D5" w:rsidRPr="005A0C0E">
        <w:rPr>
          <w:lang w:val="en-US"/>
        </w:rPr>
        <w:t>A</w:t>
      </w:r>
      <w:r w:rsidR="0080774D" w:rsidRPr="005A0C0E">
        <w:rPr>
          <w:lang w:val="en-US"/>
        </w:rPr>
        <w:t>pproximately</w:t>
      </w:r>
      <w:r w:rsidR="006646D5" w:rsidRPr="005A0C0E">
        <w:rPr>
          <w:lang w:val="en-US"/>
        </w:rPr>
        <w:t xml:space="preserve"> half of these schemes only target disabled women</w:t>
      </w:r>
      <w:r w:rsidR="0080774D" w:rsidRPr="005A0C0E">
        <w:rPr>
          <w:lang w:val="en-US"/>
        </w:rPr>
        <w:t>,</w:t>
      </w:r>
      <w:r w:rsidR="006646D5" w:rsidRPr="005A0C0E">
        <w:rPr>
          <w:lang w:val="en-US"/>
        </w:rPr>
        <w:t xml:space="preserve"> whereas the rest also include men. </w:t>
      </w:r>
      <w:r w:rsidR="00105F3B">
        <w:rPr>
          <w:lang w:val="en-US"/>
        </w:rPr>
        <w:t>19%</w:t>
      </w:r>
      <w:r w:rsidR="00873833" w:rsidRPr="005A0C0E">
        <w:rPr>
          <w:lang w:val="en-US"/>
        </w:rPr>
        <w:t xml:space="preserve"> </w:t>
      </w:r>
      <w:r w:rsidR="006646D5" w:rsidRPr="005A0C0E">
        <w:rPr>
          <w:lang w:val="en-US"/>
        </w:rPr>
        <w:t xml:space="preserve">of the schemes actually </w:t>
      </w:r>
      <w:r w:rsidR="00873833" w:rsidRPr="005A0C0E">
        <w:rPr>
          <w:lang w:val="en-US"/>
        </w:rPr>
        <w:t>provide grants</w:t>
      </w:r>
      <w:r w:rsidR="006646D5" w:rsidRPr="005A0C0E">
        <w:rPr>
          <w:lang w:val="en-US"/>
        </w:rPr>
        <w:t xml:space="preserve"> and not loans</w:t>
      </w:r>
      <w:r w:rsidR="00873833" w:rsidRPr="005A0C0E">
        <w:rPr>
          <w:lang w:val="en-US"/>
        </w:rPr>
        <w:t xml:space="preserve">, </w:t>
      </w:r>
      <w:r w:rsidR="006646D5" w:rsidRPr="005A0C0E">
        <w:rPr>
          <w:lang w:val="en-US"/>
        </w:rPr>
        <w:t>while</w:t>
      </w:r>
      <w:r w:rsidR="00873833" w:rsidRPr="005A0C0E">
        <w:rPr>
          <w:lang w:val="en-US"/>
        </w:rPr>
        <w:t xml:space="preserve"> 16% </w:t>
      </w:r>
      <w:r w:rsidR="006646D5" w:rsidRPr="005A0C0E">
        <w:rPr>
          <w:lang w:val="en-US"/>
        </w:rPr>
        <w:t xml:space="preserve">of those </w:t>
      </w:r>
      <w:r w:rsidR="00017EEC" w:rsidRPr="005A0C0E">
        <w:rPr>
          <w:lang w:val="en-US"/>
        </w:rPr>
        <w:t xml:space="preserve">schemes </w:t>
      </w:r>
      <w:r w:rsidR="006646D5" w:rsidRPr="005A0C0E">
        <w:rPr>
          <w:lang w:val="en-US"/>
        </w:rPr>
        <w:t>offering loans</w:t>
      </w:r>
      <w:r w:rsidR="00873833" w:rsidRPr="005A0C0E">
        <w:rPr>
          <w:lang w:val="en-US"/>
        </w:rPr>
        <w:t xml:space="preserve"> charge </w:t>
      </w:r>
      <w:r w:rsidR="006646D5" w:rsidRPr="005A0C0E">
        <w:rPr>
          <w:lang w:val="en-US"/>
        </w:rPr>
        <w:t>no</w:t>
      </w:r>
      <w:r w:rsidR="00873833" w:rsidRPr="005A0C0E">
        <w:rPr>
          <w:lang w:val="en-US"/>
        </w:rPr>
        <w:t xml:space="preserve"> interest rates. The rest charge rates between 10% and 24% per year. In contrast, </w:t>
      </w:r>
      <w:r w:rsidR="006646D5" w:rsidRPr="005A0C0E">
        <w:rPr>
          <w:lang w:val="en-US"/>
        </w:rPr>
        <w:t>MFIs in the survey</w:t>
      </w:r>
      <w:r w:rsidR="00873833" w:rsidRPr="005A0C0E">
        <w:rPr>
          <w:lang w:val="en-US"/>
        </w:rPr>
        <w:t xml:space="preserve"> charge annual rates of 20-58% per year. </w:t>
      </w:r>
    </w:p>
    <w:p w:rsidR="00A659D6" w:rsidRPr="005A0C0E" w:rsidRDefault="00873833" w:rsidP="006828F0">
      <w:pPr>
        <w:spacing w:line="480" w:lineRule="auto"/>
        <w:rPr>
          <w:lang w:val="en-US"/>
        </w:rPr>
      </w:pPr>
      <w:r w:rsidRPr="005A0C0E">
        <w:rPr>
          <w:lang w:val="en-US"/>
        </w:rPr>
        <w:t>The study of Handicap</w:t>
      </w:r>
      <w:r w:rsidR="00660629" w:rsidRPr="005A0C0E">
        <w:rPr>
          <w:lang w:val="en-US"/>
        </w:rPr>
        <w:t xml:space="preserve"> </w:t>
      </w:r>
      <w:r w:rsidRPr="005A0C0E">
        <w:rPr>
          <w:lang w:val="en-US"/>
        </w:rPr>
        <w:t>International (2006) also investigates possible barriers to microfinance tha</w:t>
      </w:r>
      <w:r w:rsidR="00B232EF" w:rsidRPr="005A0C0E">
        <w:rPr>
          <w:lang w:val="en-US"/>
        </w:rPr>
        <w:t>t</w:t>
      </w:r>
      <w:r w:rsidRPr="005A0C0E">
        <w:rPr>
          <w:lang w:val="en-US"/>
        </w:rPr>
        <w:t xml:space="preserve"> persons with disabilities face</w:t>
      </w:r>
      <w:r w:rsidR="005A0C0E" w:rsidRPr="00B624A8">
        <w:rPr>
          <w:lang w:val="en-US"/>
        </w:rPr>
        <w:t>. The results</w:t>
      </w:r>
      <w:r w:rsidRPr="005A0C0E">
        <w:rPr>
          <w:lang w:val="en-US"/>
        </w:rPr>
        <w:t xml:space="preserve"> are reported separately for </w:t>
      </w:r>
      <w:r w:rsidR="00675077" w:rsidRPr="005A0C0E">
        <w:rPr>
          <w:lang w:val="en-US"/>
        </w:rPr>
        <w:t>DPOs with credit schemes a</w:t>
      </w:r>
      <w:r w:rsidRPr="005A0C0E">
        <w:rPr>
          <w:lang w:val="en-US"/>
        </w:rPr>
        <w:t>n</w:t>
      </w:r>
      <w:r w:rsidR="00E20D6B" w:rsidRPr="005A0C0E">
        <w:rPr>
          <w:lang w:val="en-US"/>
        </w:rPr>
        <w:t xml:space="preserve">d </w:t>
      </w:r>
      <w:r w:rsidRPr="005A0C0E">
        <w:rPr>
          <w:lang w:val="en-US"/>
        </w:rPr>
        <w:t xml:space="preserve">MFIs. </w:t>
      </w:r>
      <w:r w:rsidR="00693794" w:rsidRPr="005A0C0E">
        <w:rPr>
          <w:lang w:val="en-US"/>
        </w:rPr>
        <w:t xml:space="preserve">Among the DPOs, </w:t>
      </w:r>
      <w:r w:rsidRPr="005A0C0E">
        <w:rPr>
          <w:lang w:val="en-US"/>
        </w:rPr>
        <w:t xml:space="preserve">95% </w:t>
      </w:r>
      <w:r w:rsidR="00A659D6" w:rsidRPr="005A0C0E">
        <w:rPr>
          <w:lang w:val="en-US"/>
        </w:rPr>
        <w:t xml:space="preserve">affirm that persons with disabilities face specific barriers accessing microfinance services, and lack of education, low income, </w:t>
      </w:r>
      <w:r w:rsidR="00693794" w:rsidRPr="005A0C0E">
        <w:rPr>
          <w:lang w:val="en-US"/>
        </w:rPr>
        <w:t>stigmatization</w:t>
      </w:r>
      <w:r w:rsidR="00A659D6" w:rsidRPr="005A0C0E">
        <w:rPr>
          <w:lang w:val="en-US"/>
        </w:rPr>
        <w:t xml:space="preserve"> and lack of access to information are listed as the main barriers. In contrast, only 47% of the MFIs state that persons with disabilities face specific microfinance barriers. </w:t>
      </w:r>
      <w:r w:rsidR="00272FEF" w:rsidRPr="005A0C0E">
        <w:rPr>
          <w:lang w:val="en-US"/>
        </w:rPr>
        <w:t>Among MFIs, l</w:t>
      </w:r>
      <w:r w:rsidR="00A659D6" w:rsidRPr="005A0C0E">
        <w:rPr>
          <w:lang w:val="en-US"/>
        </w:rPr>
        <w:t>ack of self-esteem, guarantees and access to information are view</w:t>
      </w:r>
      <w:r w:rsidR="00B232EF" w:rsidRPr="005A0C0E">
        <w:rPr>
          <w:lang w:val="en-US"/>
        </w:rPr>
        <w:t>ed</w:t>
      </w:r>
      <w:r w:rsidR="00A659D6" w:rsidRPr="005A0C0E">
        <w:rPr>
          <w:lang w:val="en-US"/>
        </w:rPr>
        <w:t xml:space="preserve"> as the most important barriers. </w:t>
      </w:r>
    </w:p>
    <w:p w:rsidR="00A659D6" w:rsidRPr="005A0C0E" w:rsidRDefault="00A659D6" w:rsidP="006828F0">
      <w:pPr>
        <w:spacing w:line="480" w:lineRule="auto"/>
        <w:rPr>
          <w:lang w:val="en-US"/>
        </w:rPr>
      </w:pPr>
      <w:r w:rsidRPr="005A0C0E">
        <w:rPr>
          <w:lang w:val="en-US"/>
        </w:rPr>
        <w:t xml:space="preserve">The </w:t>
      </w:r>
      <w:r w:rsidR="00B232EF" w:rsidRPr="005A0C0E">
        <w:rPr>
          <w:lang w:val="en-US"/>
        </w:rPr>
        <w:t>more detailed field</w:t>
      </w:r>
      <w:r w:rsidRPr="005A0C0E">
        <w:rPr>
          <w:lang w:val="en-US"/>
        </w:rPr>
        <w:t xml:space="preserve"> studies</w:t>
      </w:r>
      <w:r w:rsidR="00B232EF" w:rsidRPr="005A0C0E">
        <w:rPr>
          <w:lang w:val="en-US"/>
        </w:rPr>
        <w:t>, which may also be referred to as in-depth case studies,</w:t>
      </w:r>
      <w:r w:rsidRPr="005A0C0E">
        <w:rPr>
          <w:lang w:val="en-US"/>
        </w:rPr>
        <w:t xml:space="preserve"> of Handicap</w:t>
      </w:r>
      <w:r w:rsidR="00CF662D" w:rsidRPr="005A0C0E">
        <w:rPr>
          <w:lang w:val="en-US"/>
        </w:rPr>
        <w:t xml:space="preserve"> </w:t>
      </w:r>
      <w:r w:rsidRPr="005A0C0E">
        <w:rPr>
          <w:lang w:val="en-US"/>
        </w:rPr>
        <w:t>International (2006) also revealed interesting aspects of the microfinance market of persons with disabilities. For instance, in Kenya, many persons with disabilities expected grants instead of loans, and “</w:t>
      </w:r>
      <w:r w:rsidR="00EF74DB" w:rsidRPr="005A0C0E">
        <w:rPr>
          <w:lang w:val="en-US"/>
        </w:rPr>
        <w:t>[</w:t>
      </w:r>
      <w:r w:rsidR="00A2723D" w:rsidRPr="005A0C0E">
        <w:rPr>
          <w:lang w:val="en-US"/>
        </w:rPr>
        <w:t>t</w:t>
      </w:r>
      <w:r w:rsidRPr="005A0C0E">
        <w:rPr>
          <w:lang w:val="en-US"/>
        </w:rPr>
        <w:t>he</w:t>
      </w:r>
      <w:r w:rsidR="00105F3B" w:rsidRPr="005A0C0E">
        <w:rPr>
          <w:lang w:val="en-US"/>
        </w:rPr>
        <w:t>]</w:t>
      </w:r>
      <w:r w:rsidRPr="005A0C0E">
        <w:rPr>
          <w:lang w:val="en-US"/>
        </w:rPr>
        <w:t xml:space="preserve"> recipients of the loans were much more committed to working seriously to develop their businesses compared with the grant clients” (Handicap</w:t>
      </w:r>
      <w:r w:rsidR="00CF662D" w:rsidRPr="005A0C0E">
        <w:rPr>
          <w:lang w:val="en-US"/>
        </w:rPr>
        <w:t xml:space="preserve"> </w:t>
      </w:r>
      <w:r w:rsidRPr="005A0C0E">
        <w:rPr>
          <w:lang w:val="en-US"/>
        </w:rPr>
        <w:t>International, 2006, p. 108).</w:t>
      </w:r>
      <w:r w:rsidR="00305B14" w:rsidRPr="005A0C0E">
        <w:rPr>
          <w:lang w:val="en-US"/>
        </w:rPr>
        <w:t xml:space="preserve"> Moreover, whereas evidence from Colombia suggests tha</w:t>
      </w:r>
      <w:r w:rsidR="00AF43FD" w:rsidRPr="005A0C0E">
        <w:rPr>
          <w:lang w:val="en-US"/>
        </w:rPr>
        <w:t>t</w:t>
      </w:r>
      <w:r w:rsidR="00305B14" w:rsidRPr="005A0C0E">
        <w:rPr>
          <w:lang w:val="en-US"/>
        </w:rPr>
        <w:t xml:space="preserve"> it is important to make some adjustment</w:t>
      </w:r>
      <w:r w:rsidR="00EF74DB" w:rsidRPr="005A0C0E">
        <w:rPr>
          <w:lang w:val="en-US"/>
        </w:rPr>
        <w:t>s</w:t>
      </w:r>
      <w:r w:rsidR="00305B14" w:rsidRPr="005A0C0E">
        <w:rPr>
          <w:lang w:val="en-US"/>
        </w:rPr>
        <w:t xml:space="preserve"> in microfinance services for persons with disabilities </w:t>
      </w:r>
      <w:r w:rsidR="00415EDA" w:rsidRPr="005A0C0E">
        <w:rPr>
          <w:lang w:val="en-US"/>
        </w:rPr>
        <w:t>if</w:t>
      </w:r>
      <w:r w:rsidR="00305B14" w:rsidRPr="005A0C0E">
        <w:rPr>
          <w:lang w:val="en-US"/>
        </w:rPr>
        <w:t xml:space="preserve"> the</w:t>
      </w:r>
      <w:r w:rsidR="00415EDA" w:rsidRPr="005A0C0E">
        <w:rPr>
          <w:lang w:val="en-US"/>
        </w:rPr>
        <w:t>se persons</w:t>
      </w:r>
      <w:r w:rsidR="00305B14" w:rsidRPr="005A0C0E">
        <w:rPr>
          <w:lang w:val="en-US"/>
        </w:rPr>
        <w:t xml:space="preserve"> are very vulnerable, a lesson learned in Nicaragua was that the inclusion of persons with disabilities in mainstream </w:t>
      </w:r>
      <w:r w:rsidR="00F72566" w:rsidRPr="005A0C0E">
        <w:rPr>
          <w:lang w:val="en-US"/>
        </w:rPr>
        <w:t>MFIs</w:t>
      </w:r>
      <w:r w:rsidR="00305B14" w:rsidRPr="005A0C0E">
        <w:rPr>
          <w:lang w:val="en-US"/>
        </w:rPr>
        <w:t xml:space="preserve"> boosts </w:t>
      </w:r>
      <w:r w:rsidR="00415EDA" w:rsidRPr="005A0C0E">
        <w:rPr>
          <w:lang w:val="en-US"/>
        </w:rPr>
        <w:t xml:space="preserve">the </w:t>
      </w:r>
      <w:r w:rsidR="00305B14" w:rsidRPr="005A0C0E">
        <w:rPr>
          <w:lang w:val="en-US"/>
        </w:rPr>
        <w:t>economic and social inclusion as well as self-confidence</w:t>
      </w:r>
      <w:r w:rsidR="00415EDA" w:rsidRPr="005A0C0E">
        <w:rPr>
          <w:lang w:val="en-US"/>
        </w:rPr>
        <w:t xml:space="preserve"> of these persons</w:t>
      </w:r>
      <w:r w:rsidR="00305B14" w:rsidRPr="005A0C0E">
        <w:rPr>
          <w:lang w:val="en-US"/>
        </w:rPr>
        <w:t xml:space="preserve">. </w:t>
      </w:r>
    </w:p>
    <w:p w:rsidR="00B47B6F" w:rsidRPr="005A0C0E" w:rsidRDefault="00B47B6F" w:rsidP="006828F0">
      <w:pPr>
        <w:spacing w:line="480" w:lineRule="auto"/>
        <w:rPr>
          <w:lang w:val="en-US"/>
        </w:rPr>
      </w:pPr>
      <w:r w:rsidRPr="005A0C0E">
        <w:rPr>
          <w:lang w:val="en-US"/>
        </w:rPr>
        <w:lastRenderedPageBreak/>
        <w:t>Based on the Handicap</w:t>
      </w:r>
      <w:r w:rsidR="00CF662D" w:rsidRPr="005A0C0E">
        <w:rPr>
          <w:lang w:val="en-US"/>
        </w:rPr>
        <w:t xml:space="preserve"> </w:t>
      </w:r>
      <w:r w:rsidRPr="005A0C0E">
        <w:rPr>
          <w:lang w:val="en-US"/>
        </w:rPr>
        <w:t xml:space="preserve">International (2006) study, de Klerk (2008) concludes that there is no single best solution to the funding of </w:t>
      </w:r>
      <w:r w:rsidR="005A4269" w:rsidRPr="005A0C0E">
        <w:rPr>
          <w:lang w:val="en-US"/>
        </w:rPr>
        <w:t xml:space="preserve">self-employment activities </w:t>
      </w:r>
      <w:r w:rsidR="0091506E">
        <w:rPr>
          <w:lang w:val="en-US"/>
        </w:rPr>
        <w:t>for</w:t>
      </w:r>
      <w:r w:rsidR="005A4269" w:rsidRPr="005A0C0E">
        <w:rPr>
          <w:lang w:val="en-US"/>
        </w:rPr>
        <w:t xml:space="preserve"> </w:t>
      </w:r>
      <w:r w:rsidR="00B379D9" w:rsidRPr="005A0C0E">
        <w:rPr>
          <w:lang w:val="en-US"/>
        </w:rPr>
        <w:t>persons with disabilities</w:t>
      </w:r>
      <w:r w:rsidRPr="005A0C0E">
        <w:rPr>
          <w:lang w:val="en-US"/>
        </w:rPr>
        <w:t xml:space="preserve">. </w:t>
      </w:r>
      <w:r w:rsidR="004B0490" w:rsidRPr="005A0C0E">
        <w:rPr>
          <w:lang w:val="en-US"/>
        </w:rPr>
        <w:t>The i</w:t>
      </w:r>
      <w:r w:rsidRPr="005A0C0E">
        <w:rPr>
          <w:lang w:val="en-US"/>
        </w:rPr>
        <w:t>nclusion of persons with disabilities in exi</w:t>
      </w:r>
      <w:r w:rsidR="004B0490" w:rsidRPr="005A0C0E">
        <w:rPr>
          <w:lang w:val="en-US"/>
        </w:rPr>
        <w:t>s</w:t>
      </w:r>
      <w:r w:rsidRPr="005A0C0E">
        <w:rPr>
          <w:lang w:val="en-US"/>
        </w:rPr>
        <w:t>ting microfinance institutions may be the preferred strategy due to sustainability and access to funds for the target group</w:t>
      </w:r>
      <w:r w:rsidR="004B0490" w:rsidRPr="005A0C0E">
        <w:rPr>
          <w:lang w:val="en-US"/>
        </w:rPr>
        <w:t xml:space="preserve">; however, </w:t>
      </w:r>
      <w:r w:rsidRPr="005A0C0E">
        <w:rPr>
          <w:lang w:val="en-US"/>
        </w:rPr>
        <w:t>de Klerk (2008) contends that many persons with disabilities in reality will not have access to conventional institutions. For instance, many persons with disabilities are too vulnerable; MFIs typically only provide services to clients with existing business activities</w:t>
      </w:r>
      <w:r w:rsidR="004B0490" w:rsidRPr="005A0C0E">
        <w:rPr>
          <w:lang w:val="en-US"/>
        </w:rPr>
        <w:t>,</w:t>
      </w:r>
      <w:r w:rsidRPr="005A0C0E">
        <w:rPr>
          <w:lang w:val="en-US"/>
        </w:rPr>
        <w:t xml:space="preserve"> and </w:t>
      </w:r>
      <w:r w:rsidR="00B379D9" w:rsidRPr="005A0C0E">
        <w:rPr>
          <w:lang w:val="en-US"/>
        </w:rPr>
        <w:t>persons with disabilities</w:t>
      </w:r>
      <w:r w:rsidRPr="005A0C0E">
        <w:rPr>
          <w:lang w:val="en-US"/>
        </w:rPr>
        <w:t xml:space="preserve"> often have no business experience. Moreover, de Klerk (2008) </w:t>
      </w:r>
      <w:r w:rsidR="004B0490" w:rsidRPr="005A0C0E">
        <w:rPr>
          <w:lang w:val="en-US"/>
        </w:rPr>
        <w:t>indicates</w:t>
      </w:r>
      <w:r w:rsidRPr="005A0C0E">
        <w:rPr>
          <w:lang w:val="en-US"/>
        </w:rPr>
        <w:t xml:space="preserve"> </w:t>
      </w:r>
      <w:r w:rsidR="0091506E">
        <w:rPr>
          <w:lang w:val="en-US"/>
        </w:rPr>
        <w:t xml:space="preserve">that the </w:t>
      </w:r>
      <w:r w:rsidR="004B0490" w:rsidRPr="005A0C0E">
        <w:rPr>
          <w:lang w:val="en-US"/>
        </w:rPr>
        <w:t>stigmatization</w:t>
      </w:r>
      <w:r w:rsidRPr="005A0C0E">
        <w:rPr>
          <w:lang w:val="en-US"/>
        </w:rPr>
        <w:t xml:space="preserve"> by staff and self-exclusion by the disabled themselves </w:t>
      </w:r>
      <w:r w:rsidR="0091506E">
        <w:rPr>
          <w:lang w:val="en-US"/>
        </w:rPr>
        <w:t>are two primary</w:t>
      </w:r>
      <w:r w:rsidRPr="005A0C0E">
        <w:rPr>
          <w:lang w:val="en-US"/>
        </w:rPr>
        <w:t xml:space="preserve"> explanations </w:t>
      </w:r>
      <w:r w:rsidR="0091506E">
        <w:rPr>
          <w:lang w:val="en-US"/>
        </w:rPr>
        <w:t xml:space="preserve">for </w:t>
      </w:r>
      <w:r w:rsidRPr="005A0C0E">
        <w:rPr>
          <w:lang w:val="en-US"/>
        </w:rPr>
        <w:t xml:space="preserve">why </w:t>
      </w:r>
      <w:r w:rsidR="0091506E">
        <w:rPr>
          <w:lang w:val="en-US"/>
        </w:rPr>
        <w:t>persons with</w:t>
      </w:r>
      <w:r w:rsidR="004B0490" w:rsidRPr="005A0C0E">
        <w:rPr>
          <w:lang w:val="en-US"/>
        </w:rPr>
        <w:t xml:space="preserve"> </w:t>
      </w:r>
      <w:r w:rsidR="0091506E" w:rsidRPr="005A0C0E">
        <w:rPr>
          <w:lang w:val="en-US"/>
        </w:rPr>
        <w:t>disab</w:t>
      </w:r>
      <w:r w:rsidR="0091506E">
        <w:rPr>
          <w:lang w:val="en-US"/>
        </w:rPr>
        <w:t>ilities</w:t>
      </w:r>
      <w:r w:rsidR="0091506E" w:rsidRPr="005A0C0E">
        <w:rPr>
          <w:lang w:val="en-US"/>
        </w:rPr>
        <w:t xml:space="preserve"> </w:t>
      </w:r>
      <w:r w:rsidRPr="005A0C0E">
        <w:rPr>
          <w:lang w:val="en-US"/>
        </w:rPr>
        <w:t xml:space="preserve">do not </w:t>
      </w:r>
      <w:r w:rsidR="004B0490" w:rsidRPr="005A0C0E">
        <w:rPr>
          <w:lang w:val="en-US"/>
        </w:rPr>
        <w:t>obtain</w:t>
      </w:r>
      <w:r w:rsidRPr="005A0C0E">
        <w:rPr>
          <w:lang w:val="en-US"/>
        </w:rPr>
        <w:t xml:space="preserve"> access to mainstream microfinance services. </w:t>
      </w:r>
    </w:p>
    <w:p w:rsidR="00403250" w:rsidRPr="005A0C0E" w:rsidRDefault="00B47B6F" w:rsidP="00403250">
      <w:pPr>
        <w:spacing w:line="480" w:lineRule="auto"/>
        <w:rPr>
          <w:lang w:val="en-US"/>
        </w:rPr>
      </w:pPr>
      <w:r w:rsidRPr="005A0C0E">
        <w:rPr>
          <w:lang w:val="en-US"/>
        </w:rPr>
        <w:t>In addition to the large Handicap</w:t>
      </w:r>
      <w:r w:rsidR="00254F69" w:rsidRPr="005A0C0E">
        <w:rPr>
          <w:lang w:val="en-US"/>
        </w:rPr>
        <w:t xml:space="preserve"> </w:t>
      </w:r>
      <w:r w:rsidRPr="005A0C0E">
        <w:rPr>
          <w:lang w:val="en-US"/>
        </w:rPr>
        <w:t>International (2006)</w:t>
      </w:r>
      <w:r w:rsidR="00FA2BAF" w:rsidRPr="005A0C0E">
        <w:rPr>
          <w:lang w:val="en-US"/>
        </w:rPr>
        <w:t xml:space="preserve"> survey,</w:t>
      </w:r>
      <w:r w:rsidRPr="005A0C0E">
        <w:rPr>
          <w:lang w:val="en-US"/>
        </w:rPr>
        <w:t xml:space="preserve"> several studies </w:t>
      </w:r>
      <w:r w:rsidR="006F47EB" w:rsidRPr="005A0C0E">
        <w:rPr>
          <w:lang w:val="en-US"/>
        </w:rPr>
        <w:t>covering</w:t>
      </w:r>
      <w:r w:rsidRPr="005A0C0E">
        <w:rPr>
          <w:lang w:val="en-US"/>
        </w:rPr>
        <w:t xml:space="preserve"> limited geographical areas have been </w:t>
      </w:r>
      <w:r w:rsidR="008B2728" w:rsidRPr="005A0C0E">
        <w:rPr>
          <w:lang w:val="en-US"/>
        </w:rPr>
        <w:t>conducted</w:t>
      </w:r>
      <w:r w:rsidRPr="005A0C0E">
        <w:rPr>
          <w:lang w:val="en-US"/>
        </w:rPr>
        <w:t xml:space="preserve">. </w:t>
      </w:r>
      <w:r w:rsidR="00403250" w:rsidRPr="005A0C0E">
        <w:rPr>
          <w:lang w:val="en-US"/>
        </w:rPr>
        <w:t xml:space="preserve">In a study of </w:t>
      </w:r>
      <w:r w:rsidR="00F72566" w:rsidRPr="005A0C0E">
        <w:rPr>
          <w:lang w:val="en-US"/>
        </w:rPr>
        <w:t xml:space="preserve">projects promoting </w:t>
      </w:r>
      <w:r w:rsidR="00403250" w:rsidRPr="005A0C0E">
        <w:rPr>
          <w:lang w:val="en-US"/>
        </w:rPr>
        <w:t>savings and credit groups in Bangladesh, T</w:t>
      </w:r>
      <w:r w:rsidR="00254F69" w:rsidRPr="005A0C0E">
        <w:rPr>
          <w:lang w:val="en-US"/>
        </w:rPr>
        <w:t>h</w:t>
      </w:r>
      <w:r w:rsidR="00B232EF" w:rsidRPr="005A0C0E">
        <w:rPr>
          <w:lang w:val="en-US"/>
        </w:rPr>
        <w:t xml:space="preserve">omas (2000) supports </w:t>
      </w:r>
      <w:r w:rsidR="00403250" w:rsidRPr="005A0C0E">
        <w:rPr>
          <w:lang w:val="en-US"/>
        </w:rPr>
        <w:t xml:space="preserve">the contention that </w:t>
      </w:r>
      <w:r w:rsidR="00B379D9" w:rsidRPr="005A0C0E">
        <w:rPr>
          <w:lang w:val="en-US"/>
        </w:rPr>
        <w:t>persons with disabilities</w:t>
      </w:r>
      <w:r w:rsidR="00403250" w:rsidRPr="005A0C0E">
        <w:rPr>
          <w:lang w:val="en-US"/>
        </w:rPr>
        <w:t xml:space="preserve"> have low access to microfinance services. Even if 8 out of 12 projects include persons with disabilities, </w:t>
      </w:r>
      <w:r w:rsidR="00403250" w:rsidRPr="005A0C0E">
        <w:rPr>
          <w:rFonts w:hint="eastAsia"/>
          <w:lang w:val="en-US"/>
        </w:rPr>
        <w:t>only 0.3% to 5% of the</w:t>
      </w:r>
      <w:r w:rsidR="00403250" w:rsidRPr="005A0C0E">
        <w:rPr>
          <w:lang w:val="en-US"/>
        </w:rPr>
        <w:t xml:space="preserve"> savings and credit</w:t>
      </w:r>
      <w:r w:rsidR="00403250" w:rsidRPr="005A0C0E">
        <w:rPr>
          <w:rFonts w:hint="eastAsia"/>
          <w:lang w:val="en-US"/>
        </w:rPr>
        <w:t xml:space="preserve"> group members are </w:t>
      </w:r>
      <w:r w:rsidR="00B379D9" w:rsidRPr="005A0C0E">
        <w:rPr>
          <w:rFonts w:hint="eastAsia"/>
          <w:lang w:val="en-US"/>
        </w:rPr>
        <w:t>persons with disabilities</w:t>
      </w:r>
      <w:r w:rsidR="00403250" w:rsidRPr="005A0C0E">
        <w:rPr>
          <w:lang w:val="en-US"/>
        </w:rPr>
        <w:t>. Moreover, in her sample T</w:t>
      </w:r>
      <w:r w:rsidR="00254F69" w:rsidRPr="005A0C0E">
        <w:rPr>
          <w:lang w:val="en-US"/>
        </w:rPr>
        <w:t>h</w:t>
      </w:r>
      <w:r w:rsidR="00403250" w:rsidRPr="005A0C0E">
        <w:rPr>
          <w:lang w:val="en-US"/>
        </w:rPr>
        <w:t>omas (2000) finds that</w:t>
      </w:r>
      <w:r w:rsidR="0091506E">
        <w:rPr>
          <w:lang w:val="en-US"/>
        </w:rPr>
        <w:t>,</w:t>
      </w:r>
      <w:r w:rsidR="00F72566" w:rsidRPr="005A0C0E">
        <w:rPr>
          <w:lang w:val="en-US"/>
        </w:rPr>
        <w:t xml:space="preserve"> even in specific disability rehabilitation projects</w:t>
      </w:r>
      <w:r w:rsidR="00611993" w:rsidRPr="005A0C0E">
        <w:rPr>
          <w:lang w:val="en-US"/>
        </w:rPr>
        <w:t>,</w:t>
      </w:r>
      <w:r w:rsidR="00403250" w:rsidRPr="005A0C0E">
        <w:rPr>
          <w:lang w:val="en-US"/>
        </w:rPr>
        <w:t xml:space="preserve"> only 18% to 23.5% of saving and credit group members are disabled. She maintains that </w:t>
      </w:r>
      <w:r w:rsidR="00403250" w:rsidRPr="005A0C0E">
        <w:rPr>
          <w:rFonts w:hint="eastAsia"/>
          <w:lang w:val="en-US"/>
        </w:rPr>
        <w:t xml:space="preserve">community development and disability rehabilitation projects </w:t>
      </w:r>
      <w:r w:rsidR="00F72566" w:rsidRPr="005A0C0E">
        <w:rPr>
          <w:lang w:val="en-US"/>
        </w:rPr>
        <w:t>lack</w:t>
      </w:r>
      <w:r w:rsidR="00403250" w:rsidRPr="005A0C0E">
        <w:rPr>
          <w:rFonts w:hint="eastAsia"/>
          <w:lang w:val="en-US"/>
        </w:rPr>
        <w:t xml:space="preserve"> selection criteria for the inclusion of people with disabilities into savings and credit groups.</w:t>
      </w:r>
    </w:p>
    <w:p w:rsidR="000B3FA3" w:rsidRPr="005A0C0E" w:rsidRDefault="00403250" w:rsidP="006828F0">
      <w:pPr>
        <w:spacing w:line="480" w:lineRule="auto"/>
        <w:rPr>
          <w:lang w:val="en-US"/>
        </w:rPr>
      </w:pPr>
      <w:r w:rsidRPr="005A0C0E">
        <w:rPr>
          <w:lang w:val="en-US"/>
        </w:rPr>
        <w:t>T</w:t>
      </w:r>
      <w:r w:rsidR="00254F69" w:rsidRPr="005A0C0E">
        <w:rPr>
          <w:lang w:val="en-US"/>
        </w:rPr>
        <w:t>h</w:t>
      </w:r>
      <w:r w:rsidRPr="005A0C0E">
        <w:rPr>
          <w:lang w:val="en-US"/>
        </w:rPr>
        <w:t xml:space="preserve">omas (2000) lists several hindering mechanisms that may exclude </w:t>
      </w:r>
      <w:r w:rsidR="00B379D9" w:rsidRPr="005A0C0E">
        <w:rPr>
          <w:lang w:val="en-US"/>
        </w:rPr>
        <w:t>persons with disabilities</w:t>
      </w:r>
      <w:r w:rsidRPr="005A0C0E">
        <w:rPr>
          <w:lang w:val="en-US"/>
        </w:rPr>
        <w:t xml:space="preserve">: </w:t>
      </w:r>
    </w:p>
    <w:p w:rsidR="000B3FA3" w:rsidRPr="005A0C0E" w:rsidRDefault="00D20E11" w:rsidP="000B3FA3">
      <w:pPr>
        <w:spacing w:line="480" w:lineRule="auto"/>
        <w:ind w:left="708"/>
        <w:rPr>
          <w:rFonts w:ascii="Meiryo" w:eastAsia="Meiryo" w:hAnsi="Meiryo" w:cs="Meiryo"/>
          <w:color w:val="000033"/>
          <w:lang w:val="en-US" w:eastAsia="ja-JP"/>
        </w:rPr>
      </w:pPr>
      <w:r w:rsidRPr="005A0C0E">
        <w:rPr>
          <w:lang w:val="en-US"/>
        </w:rPr>
        <w:t>“</w:t>
      </w:r>
      <w:r w:rsidRPr="005A0C0E">
        <w:rPr>
          <w:rFonts w:hint="eastAsia"/>
          <w:lang w:val="en-US"/>
        </w:rPr>
        <w:t xml:space="preserve">The common difficulties faced in including people with disabilities in the savings and credit groups are that the non-disabled persons do not accept disabled persons easily, disabled people expect charity funds rather than operating a savings scheme, the credit worthiness of </w:t>
      </w:r>
      <w:r w:rsidRPr="005A0C0E">
        <w:rPr>
          <w:rFonts w:hint="eastAsia"/>
          <w:lang w:val="en-US"/>
        </w:rPr>
        <w:lastRenderedPageBreak/>
        <w:t xml:space="preserve">disabled persons is low, their motivation is low, their source of earning is less than others, many of them are very poor and unable to save, their families are not very supportive, it takes longer to prepare disabled persons to include them in this </w:t>
      </w:r>
      <w:proofErr w:type="spellStart"/>
      <w:r w:rsidRPr="005A0C0E">
        <w:rPr>
          <w:rFonts w:hint="eastAsia"/>
          <w:lang w:val="en-US"/>
        </w:rPr>
        <w:t>programme</w:t>
      </w:r>
      <w:proofErr w:type="spellEnd"/>
      <w:r w:rsidRPr="005A0C0E">
        <w:rPr>
          <w:rFonts w:hint="eastAsia"/>
          <w:lang w:val="en-US"/>
        </w:rPr>
        <w:t>, their mobility is restricted, their ability to market their products is limited, and their attendance in the group activity is lower than the others</w:t>
      </w:r>
      <w:r w:rsidRPr="005A0C0E">
        <w:rPr>
          <w:lang w:val="en-US"/>
        </w:rPr>
        <w:t xml:space="preserve">” </w:t>
      </w:r>
      <w:r w:rsidR="00403250" w:rsidRPr="005A0C0E">
        <w:rPr>
          <w:lang w:val="en-US"/>
        </w:rPr>
        <w:t>(T</w:t>
      </w:r>
      <w:r w:rsidR="00254F69" w:rsidRPr="005A0C0E">
        <w:rPr>
          <w:lang w:val="en-US"/>
        </w:rPr>
        <w:t>h</w:t>
      </w:r>
      <w:r w:rsidR="00403250" w:rsidRPr="005A0C0E">
        <w:rPr>
          <w:lang w:val="en-US"/>
        </w:rPr>
        <w:t>omas, 2000</w:t>
      </w:r>
      <w:r w:rsidR="00C63BDD" w:rsidRPr="005A0C0E">
        <w:rPr>
          <w:lang w:val="en-US"/>
        </w:rPr>
        <w:t>, open access journal</w:t>
      </w:r>
      <w:r w:rsidR="00403250" w:rsidRPr="005A0C0E">
        <w:rPr>
          <w:lang w:val="en-US"/>
        </w:rPr>
        <w:t>)</w:t>
      </w:r>
      <w:r w:rsidR="00403250" w:rsidRPr="005A0C0E">
        <w:rPr>
          <w:rFonts w:hint="eastAsia"/>
          <w:lang w:val="en-US"/>
        </w:rPr>
        <w:t>.</w:t>
      </w:r>
      <w:r w:rsidR="00403250" w:rsidRPr="005A0C0E">
        <w:rPr>
          <w:rFonts w:ascii="Meiryo" w:eastAsia="Meiryo" w:hAnsi="Meiryo" w:cs="Meiryo" w:hint="eastAsia"/>
          <w:color w:val="000033"/>
          <w:lang w:val="en-US" w:eastAsia="ja-JP"/>
        </w:rPr>
        <w:t xml:space="preserve"> </w:t>
      </w:r>
    </w:p>
    <w:p w:rsidR="00403250" w:rsidRPr="005A0C0E" w:rsidRDefault="00403250" w:rsidP="000B3FA3">
      <w:pPr>
        <w:spacing w:line="480" w:lineRule="auto"/>
        <w:rPr>
          <w:lang w:val="en-US"/>
        </w:rPr>
      </w:pPr>
      <w:r w:rsidRPr="005A0C0E">
        <w:rPr>
          <w:lang w:val="en-US"/>
        </w:rPr>
        <w:t>T</w:t>
      </w:r>
      <w:r w:rsidR="00961289" w:rsidRPr="005A0C0E">
        <w:rPr>
          <w:lang w:val="en-US"/>
        </w:rPr>
        <w:t>h</w:t>
      </w:r>
      <w:r w:rsidRPr="005A0C0E">
        <w:rPr>
          <w:lang w:val="en-US"/>
        </w:rPr>
        <w:t>omas (2000) maintains that a</w:t>
      </w:r>
      <w:r w:rsidRPr="005A0C0E">
        <w:rPr>
          <w:rFonts w:hint="eastAsia"/>
          <w:lang w:val="en-US"/>
        </w:rPr>
        <w:t xml:space="preserve">ttitudinal changes </w:t>
      </w:r>
      <w:r w:rsidR="00B232EF" w:rsidRPr="005A0C0E">
        <w:rPr>
          <w:lang w:val="en-US"/>
        </w:rPr>
        <w:t>among</w:t>
      </w:r>
      <w:r w:rsidRPr="005A0C0E">
        <w:rPr>
          <w:rFonts w:hint="eastAsia"/>
          <w:lang w:val="en-US"/>
        </w:rPr>
        <w:t xml:space="preserve"> the non-disabled people and the families of </w:t>
      </w:r>
      <w:r w:rsidR="00B379D9" w:rsidRPr="005A0C0E">
        <w:rPr>
          <w:rFonts w:hint="eastAsia"/>
          <w:lang w:val="en-US"/>
        </w:rPr>
        <w:t>persons with disabilities</w:t>
      </w:r>
      <w:r w:rsidRPr="005A0C0E">
        <w:rPr>
          <w:rFonts w:hint="eastAsia"/>
          <w:lang w:val="en-US"/>
        </w:rPr>
        <w:t xml:space="preserve"> </w:t>
      </w:r>
      <w:r w:rsidRPr="005A0C0E">
        <w:rPr>
          <w:lang w:val="en-US"/>
        </w:rPr>
        <w:t>may be</w:t>
      </w:r>
      <w:r w:rsidRPr="005A0C0E">
        <w:rPr>
          <w:rFonts w:hint="eastAsia"/>
          <w:lang w:val="en-US"/>
        </w:rPr>
        <w:t xml:space="preserve"> major step</w:t>
      </w:r>
      <w:r w:rsidRPr="005A0C0E">
        <w:rPr>
          <w:lang w:val="en-US"/>
        </w:rPr>
        <w:t>s</w:t>
      </w:r>
      <w:r w:rsidRPr="005A0C0E">
        <w:rPr>
          <w:rFonts w:hint="eastAsia"/>
          <w:lang w:val="en-US"/>
        </w:rPr>
        <w:t xml:space="preserve"> to overcome these difficulties</w:t>
      </w:r>
      <w:r w:rsidR="006565BA" w:rsidRPr="005A0C0E">
        <w:rPr>
          <w:lang w:val="en-US"/>
        </w:rPr>
        <w:t>.</w:t>
      </w:r>
    </w:p>
    <w:p w:rsidR="00B47B6F" w:rsidRPr="005A0C0E" w:rsidRDefault="00B47B6F" w:rsidP="006828F0">
      <w:pPr>
        <w:spacing w:line="480" w:lineRule="auto"/>
        <w:rPr>
          <w:lang w:val="en-US"/>
        </w:rPr>
      </w:pPr>
      <w:r w:rsidRPr="00B624A8">
        <w:t xml:space="preserve">In Uganda, </w:t>
      </w:r>
      <w:proofErr w:type="spellStart"/>
      <w:r w:rsidRPr="00B624A8">
        <w:t>Bwire</w:t>
      </w:r>
      <w:proofErr w:type="spellEnd"/>
      <w:r w:rsidRPr="00B624A8">
        <w:t xml:space="preserve"> </w:t>
      </w:r>
      <w:proofErr w:type="gramStart"/>
      <w:r w:rsidRPr="00B624A8">
        <w:t>et</w:t>
      </w:r>
      <w:proofErr w:type="gramEnd"/>
      <w:r w:rsidRPr="00B624A8">
        <w:t xml:space="preserve"> al. </w:t>
      </w:r>
      <w:r w:rsidRPr="005A0C0E">
        <w:rPr>
          <w:lang w:val="en-US"/>
        </w:rPr>
        <w:t>(2</w:t>
      </w:r>
      <w:r w:rsidR="00EB5506" w:rsidRPr="005A0C0E">
        <w:rPr>
          <w:lang w:val="en-US"/>
        </w:rPr>
        <w:t xml:space="preserve">009) </w:t>
      </w:r>
      <w:r w:rsidR="00AA5B3A" w:rsidRPr="005A0C0E">
        <w:rPr>
          <w:lang w:val="en-US"/>
        </w:rPr>
        <w:t xml:space="preserve">report results from a pilot project where the aim is to enable persons with disabilities </w:t>
      </w:r>
      <w:r w:rsidR="000B3FA3" w:rsidRPr="005A0C0E">
        <w:rPr>
          <w:lang w:val="en-US"/>
        </w:rPr>
        <w:t xml:space="preserve">to </w:t>
      </w:r>
      <w:r w:rsidR="00AA5B3A" w:rsidRPr="005A0C0E">
        <w:rPr>
          <w:lang w:val="en-US"/>
        </w:rPr>
        <w:t xml:space="preserve">access mainstream microfinance services. </w:t>
      </w:r>
      <w:r w:rsidR="003B402F" w:rsidRPr="005A0C0E">
        <w:rPr>
          <w:lang w:val="en-US"/>
        </w:rPr>
        <w:t xml:space="preserve">In </w:t>
      </w:r>
      <w:r w:rsidR="00FA2BAF" w:rsidRPr="005A0C0E">
        <w:rPr>
          <w:lang w:val="en-US"/>
        </w:rPr>
        <w:t xml:space="preserve">this </w:t>
      </w:r>
      <w:r w:rsidR="003B402F" w:rsidRPr="005A0C0E">
        <w:rPr>
          <w:lang w:val="en-US"/>
        </w:rPr>
        <w:t>project</w:t>
      </w:r>
      <w:r w:rsidR="00FA2BAF" w:rsidRPr="005A0C0E">
        <w:rPr>
          <w:lang w:val="en-US"/>
        </w:rPr>
        <w:t>,</w:t>
      </w:r>
      <w:r w:rsidR="003B402F" w:rsidRPr="005A0C0E">
        <w:rPr>
          <w:lang w:val="en-US"/>
        </w:rPr>
        <w:t xml:space="preserve"> staff in mainstream MFIs </w:t>
      </w:r>
      <w:r w:rsidR="00490C7F" w:rsidRPr="005A0C0E">
        <w:rPr>
          <w:lang w:val="en-US"/>
        </w:rPr>
        <w:t xml:space="preserve">is </w:t>
      </w:r>
      <w:r w:rsidR="003B402F" w:rsidRPr="005A0C0E">
        <w:rPr>
          <w:lang w:val="en-US"/>
        </w:rPr>
        <w:t xml:space="preserve">trained in being more disability sensitive. </w:t>
      </w:r>
      <w:r w:rsidR="00AA5B3A" w:rsidRPr="005A0C0E">
        <w:rPr>
          <w:lang w:val="en-US"/>
        </w:rPr>
        <w:t>As a result of the project, a change in attitudes is observed and all MFIs report an increase in the number of clients with disabilities</w:t>
      </w:r>
      <w:r w:rsidR="00C63BDD" w:rsidRPr="005A0C0E">
        <w:rPr>
          <w:lang w:val="en-US"/>
        </w:rPr>
        <w:t xml:space="preserve"> (on average</w:t>
      </w:r>
      <w:r w:rsidR="008A2AE1" w:rsidRPr="005A0C0E">
        <w:rPr>
          <w:lang w:val="en-US"/>
        </w:rPr>
        <w:t>,</w:t>
      </w:r>
      <w:r w:rsidR="00C63BDD" w:rsidRPr="005A0C0E">
        <w:rPr>
          <w:lang w:val="en-US"/>
        </w:rPr>
        <w:t xml:space="preserve"> participating MFIs doubled their number of clients with disabilities</w:t>
      </w:r>
      <w:r w:rsidR="0034349F" w:rsidRPr="005A0C0E">
        <w:rPr>
          <w:lang w:val="en-US"/>
        </w:rPr>
        <w:t xml:space="preserve"> </w:t>
      </w:r>
      <w:r w:rsidR="0091506E">
        <w:rPr>
          <w:lang w:val="en-US"/>
        </w:rPr>
        <w:t>–</w:t>
      </w:r>
      <w:r w:rsidR="0091506E" w:rsidRPr="005A0C0E">
        <w:rPr>
          <w:lang w:val="en-US"/>
        </w:rPr>
        <w:t xml:space="preserve"> </w:t>
      </w:r>
      <w:r w:rsidR="00C63BDD" w:rsidRPr="005A0C0E">
        <w:rPr>
          <w:lang w:val="en-US"/>
        </w:rPr>
        <w:t>from 0</w:t>
      </w:r>
      <w:r w:rsidR="00B63BD8">
        <w:rPr>
          <w:lang w:val="en-US"/>
        </w:rPr>
        <w:t>.</w:t>
      </w:r>
      <w:r w:rsidR="00C63BDD" w:rsidRPr="005A0C0E">
        <w:rPr>
          <w:lang w:val="en-US"/>
        </w:rPr>
        <w:t>5% to 1% of their clients)</w:t>
      </w:r>
      <w:r w:rsidR="00AA5B3A" w:rsidRPr="005A0C0E">
        <w:rPr>
          <w:lang w:val="en-US"/>
        </w:rPr>
        <w:t xml:space="preserve">. </w:t>
      </w:r>
      <w:r w:rsidR="00935345" w:rsidRPr="005A0C0E">
        <w:rPr>
          <w:lang w:val="en-US"/>
        </w:rPr>
        <w:t xml:space="preserve">The study stresses that the disability community is an untapped market opportunity for MFIs and that the institutions need to </w:t>
      </w:r>
      <w:r w:rsidR="008A2AE1" w:rsidRPr="005A0C0E">
        <w:rPr>
          <w:lang w:val="en-US"/>
        </w:rPr>
        <w:t>realize</w:t>
      </w:r>
      <w:r w:rsidR="00935345" w:rsidRPr="005A0C0E">
        <w:rPr>
          <w:lang w:val="en-US"/>
        </w:rPr>
        <w:t xml:space="preserve"> the potential </w:t>
      </w:r>
      <w:r w:rsidR="008A2AE1" w:rsidRPr="005A0C0E">
        <w:rPr>
          <w:lang w:val="en-US"/>
        </w:rPr>
        <w:t xml:space="preserve">of </w:t>
      </w:r>
      <w:r w:rsidR="00935345" w:rsidRPr="005A0C0E">
        <w:rPr>
          <w:lang w:val="en-US"/>
        </w:rPr>
        <w:t xml:space="preserve">this group of customers. </w:t>
      </w:r>
      <w:proofErr w:type="spellStart"/>
      <w:r w:rsidR="00935345" w:rsidRPr="005A0C0E">
        <w:rPr>
          <w:lang w:val="en-US"/>
        </w:rPr>
        <w:t>Bwire</w:t>
      </w:r>
      <w:proofErr w:type="spellEnd"/>
      <w:r w:rsidR="00935345" w:rsidRPr="005A0C0E">
        <w:rPr>
          <w:lang w:val="en-US"/>
        </w:rPr>
        <w:t xml:space="preserve"> et al. (2009) list exclusion by staff and self-exclusion due to low self-esteem as major hindering mechanisms </w:t>
      </w:r>
      <w:r w:rsidR="008A2AE1" w:rsidRPr="005A0C0E">
        <w:rPr>
          <w:lang w:val="en-US"/>
        </w:rPr>
        <w:t>for</w:t>
      </w:r>
      <w:r w:rsidR="00935345" w:rsidRPr="005A0C0E">
        <w:rPr>
          <w:lang w:val="en-US"/>
        </w:rPr>
        <w:t xml:space="preserve"> </w:t>
      </w:r>
      <w:proofErr w:type="spellStart"/>
      <w:r w:rsidR="0091506E" w:rsidRPr="005A0C0E">
        <w:rPr>
          <w:lang w:val="en-US"/>
        </w:rPr>
        <w:t>microfinanc</w:t>
      </w:r>
      <w:r w:rsidR="0091506E">
        <w:rPr>
          <w:lang w:val="en-US"/>
        </w:rPr>
        <w:t>iers</w:t>
      </w:r>
      <w:proofErr w:type="spellEnd"/>
      <w:r w:rsidR="0091506E">
        <w:rPr>
          <w:lang w:val="en-US"/>
        </w:rPr>
        <w:t>;</w:t>
      </w:r>
      <w:r w:rsidR="00935345" w:rsidRPr="005A0C0E">
        <w:rPr>
          <w:lang w:val="en-US"/>
        </w:rPr>
        <w:t xml:space="preserve"> additionally, t</w:t>
      </w:r>
      <w:r w:rsidR="00AA5B3A" w:rsidRPr="005A0C0E">
        <w:rPr>
          <w:lang w:val="en-US"/>
        </w:rPr>
        <w:t xml:space="preserve">he study </w:t>
      </w:r>
      <w:r w:rsidR="008A2AE1" w:rsidRPr="005A0C0E">
        <w:rPr>
          <w:lang w:val="en-US"/>
        </w:rPr>
        <w:t>indicates the importance of</w:t>
      </w:r>
      <w:r w:rsidR="00EB5506" w:rsidRPr="005A0C0E">
        <w:rPr>
          <w:lang w:val="en-US"/>
        </w:rPr>
        <w:t xml:space="preserve"> </w:t>
      </w:r>
      <w:r w:rsidR="00935345" w:rsidRPr="005A0C0E">
        <w:rPr>
          <w:lang w:val="en-US"/>
        </w:rPr>
        <w:t xml:space="preserve">informational barriers. </w:t>
      </w:r>
      <w:proofErr w:type="spellStart"/>
      <w:r w:rsidR="00EB5506" w:rsidRPr="005A0C0E">
        <w:rPr>
          <w:lang w:val="en-US"/>
        </w:rPr>
        <w:t>Bwire</w:t>
      </w:r>
      <w:proofErr w:type="spellEnd"/>
      <w:r w:rsidR="00EB5506" w:rsidRPr="005A0C0E">
        <w:rPr>
          <w:lang w:val="en-US"/>
        </w:rPr>
        <w:t xml:space="preserve"> et al. (2009) </w:t>
      </w:r>
      <w:r w:rsidR="00AA5B3A" w:rsidRPr="005A0C0E">
        <w:rPr>
          <w:lang w:val="en-US"/>
        </w:rPr>
        <w:t>maintain that</w:t>
      </w:r>
      <w:r w:rsidR="00EB5506" w:rsidRPr="005A0C0E">
        <w:rPr>
          <w:lang w:val="en-US"/>
        </w:rPr>
        <w:t xml:space="preserve"> misinformation about MFI terms and conditions </w:t>
      </w:r>
      <w:r w:rsidR="00935345" w:rsidRPr="005A0C0E">
        <w:rPr>
          <w:lang w:val="en-US"/>
        </w:rPr>
        <w:t xml:space="preserve">may be a </w:t>
      </w:r>
      <w:r w:rsidR="0091506E">
        <w:rPr>
          <w:lang w:val="en-US"/>
        </w:rPr>
        <w:t>primary</w:t>
      </w:r>
      <w:r w:rsidR="0091506E" w:rsidRPr="005A0C0E">
        <w:rPr>
          <w:lang w:val="en-US"/>
        </w:rPr>
        <w:t xml:space="preserve"> </w:t>
      </w:r>
      <w:r w:rsidR="00AA5B3A" w:rsidRPr="005A0C0E">
        <w:rPr>
          <w:lang w:val="en-US"/>
        </w:rPr>
        <w:t>explanation</w:t>
      </w:r>
      <w:r w:rsidR="0091506E">
        <w:rPr>
          <w:lang w:val="en-US"/>
        </w:rPr>
        <w:t xml:space="preserve"> for</w:t>
      </w:r>
      <w:r w:rsidR="00AA5B3A" w:rsidRPr="005A0C0E">
        <w:rPr>
          <w:lang w:val="en-US"/>
        </w:rPr>
        <w:t xml:space="preserve"> why</w:t>
      </w:r>
      <w:r w:rsidR="00EB5506" w:rsidRPr="005A0C0E">
        <w:rPr>
          <w:lang w:val="en-US"/>
        </w:rPr>
        <w:t xml:space="preserve"> persons with disabilities do not approach the</w:t>
      </w:r>
      <w:r w:rsidR="008A2AE1" w:rsidRPr="005A0C0E">
        <w:rPr>
          <w:lang w:val="en-US"/>
        </w:rPr>
        <w:t>se</w:t>
      </w:r>
      <w:r w:rsidR="00EB5506" w:rsidRPr="005A0C0E">
        <w:rPr>
          <w:lang w:val="en-US"/>
        </w:rPr>
        <w:t xml:space="preserve"> institutions. </w:t>
      </w:r>
    </w:p>
    <w:p w:rsidR="0091412E" w:rsidRPr="005A0C0E" w:rsidRDefault="002B4C7C" w:rsidP="006828F0">
      <w:pPr>
        <w:spacing w:line="480" w:lineRule="auto"/>
        <w:rPr>
          <w:lang w:val="en-US"/>
        </w:rPr>
      </w:pPr>
      <w:r w:rsidRPr="005A0C0E">
        <w:rPr>
          <w:lang w:val="en-US"/>
        </w:rPr>
        <w:t xml:space="preserve">Also using Ugandan data, Labie et al. (2010) provide an in-depth empirical </w:t>
      </w:r>
      <w:r w:rsidR="003B402F" w:rsidRPr="005A0C0E">
        <w:rPr>
          <w:lang w:val="en-US"/>
        </w:rPr>
        <w:t xml:space="preserve">and theoretical </w:t>
      </w:r>
      <w:r w:rsidRPr="005A0C0E">
        <w:rPr>
          <w:lang w:val="en-US"/>
        </w:rPr>
        <w:t>analysis o</w:t>
      </w:r>
      <w:r w:rsidR="00F40A8E" w:rsidRPr="005A0C0E">
        <w:rPr>
          <w:lang w:val="en-US"/>
        </w:rPr>
        <w:t>f</w:t>
      </w:r>
      <w:r w:rsidRPr="005A0C0E">
        <w:rPr>
          <w:lang w:val="en-US"/>
        </w:rPr>
        <w:t xml:space="preserve"> one of the </w:t>
      </w:r>
      <w:r w:rsidR="005E2C6D" w:rsidRPr="005A0C0E">
        <w:rPr>
          <w:lang w:val="en-US"/>
        </w:rPr>
        <w:t>exclusion barriers, namely</w:t>
      </w:r>
      <w:r w:rsidR="0073053E" w:rsidRPr="005A0C0E">
        <w:rPr>
          <w:lang w:val="en-US"/>
        </w:rPr>
        <w:t>,</w:t>
      </w:r>
      <w:r w:rsidR="005E2C6D" w:rsidRPr="005A0C0E">
        <w:rPr>
          <w:lang w:val="en-US"/>
        </w:rPr>
        <w:t xml:space="preserve"> exclusion by staff. Their main finding is that credit officers are more biased against disabled customers than are other employees. Because credit officers are the </w:t>
      </w:r>
      <w:r w:rsidR="0091506E">
        <w:rPr>
          <w:lang w:val="en-US"/>
        </w:rPr>
        <w:t>individuals</w:t>
      </w:r>
      <w:r w:rsidR="0091506E" w:rsidRPr="005A0C0E">
        <w:rPr>
          <w:lang w:val="en-US"/>
        </w:rPr>
        <w:t xml:space="preserve"> </w:t>
      </w:r>
      <w:r w:rsidR="005E2C6D" w:rsidRPr="005A0C0E">
        <w:rPr>
          <w:lang w:val="en-US"/>
        </w:rPr>
        <w:t xml:space="preserve">with daily contact with the customers and </w:t>
      </w:r>
      <w:r w:rsidR="0091506E">
        <w:rPr>
          <w:lang w:val="en-US"/>
        </w:rPr>
        <w:t>are those who hold</w:t>
      </w:r>
      <w:r w:rsidR="00210E0F" w:rsidRPr="005A0C0E">
        <w:rPr>
          <w:lang w:val="en-US"/>
        </w:rPr>
        <w:t xml:space="preserve"> a</w:t>
      </w:r>
      <w:r w:rsidR="005E2C6D" w:rsidRPr="005A0C0E">
        <w:rPr>
          <w:lang w:val="en-US"/>
        </w:rPr>
        <w:t xml:space="preserve"> large influence on whether a particular costumer is granted a loan, th</w:t>
      </w:r>
      <w:r w:rsidR="0065521C" w:rsidRPr="005A0C0E">
        <w:rPr>
          <w:lang w:val="en-US"/>
        </w:rPr>
        <w:t xml:space="preserve">is </w:t>
      </w:r>
      <w:r w:rsidR="005E2C6D" w:rsidRPr="005A0C0E">
        <w:rPr>
          <w:lang w:val="en-US"/>
        </w:rPr>
        <w:t xml:space="preserve">finding is particularly unfortunate. However, </w:t>
      </w:r>
      <w:r w:rsidR="005E2C6D" w:rsidRPr="005A0C0E">
        <w:rPr>
          <w:lang w:val="en-US"/>
        </w:rPr>
        <w:lastRenderedPageBreak/>
        <w:t xml:space="preserve">Labie et al. (2010) </w:t>
      </w:r>
      <w:r w:rsidR="0065521C" w:rsidRPr="005A0C0E">
        <w:rPr>
          <w:lang w:val="en-US"/>
        </w:rPr>
        <w:t>emphasize</w:t>
      </w:r>
      <w:r w:rsidR="005E2C6D" w:rsidRPr="005A0C0E">
        <w:rPr>
          <w:lang w:val="en-US"/>
        </w:rPr>
        <w:t xml:space="preserve"> that</w:t>
      </w:r>
      <w:r w:rsidR="0065521C" w:rsidRPr="005A0C0E">
        <w:rPr>
          <w:lang w:val="en-US"/>
        </w:rPr>
        <w:t xml:space="preserve"> </w:t>
      </w:r>
      <w:r w:rsidR="005E2C6D" w:rsidRPr="005A0C0E">
        <w:rPr>
          <w:lang w:val="en-US"/>
        </w:rPr>
        <w:t xml:space="preserve">credit officers are often motivated by a genuine desire to be useful and do </w:t>
      </w:r>
      <w:proofErr w:type="gramStart"/>
      <w:r w:rsidR="005E2C6D" w:rsidRPr="005A0C0E">
        <w:rPr>
          <w:lang w:val="en-US"/>
        </w:rPr>
        <w:t>good</w:t>
      </w:r>
      <w:proofErr w:type="gramEnd"/>
      <w:r w:rsidR="005E2C6D" w:rsidRPr="005A0C0E">
        <w:rPr>
          <w:lang w:val="en-US"/>
        </w:rPr>
        <w:t xml:space="preserve">; the bias can often be attributed to an overestimation of risk or an underestimation of the </w:t>
      </w:r>
      <w:r w:rsidR="0065521C" w:rsidRPr="005A0C0E">
        <w:rPr>
          <w:lang w:val="en-US"/>
        </w:rPr>
        <w:t xml:space="preserve">abilities of </w:t>
      </w:r>
      <w:r w:rsidR="00B379D9" w:rsidRPr="005A0C0E">
        <w:rPr>
          <w:lang w:val="en-US"/>
        </w:rPr>
        <w:t>persons with disabilities</w:t>
      </w:r>
      <w:r w:rsidR="0065521C" w:rsidRPr="005A0C0E">
        <w:rPr>
          <w:lang w:val="en-US"/>
        </w:rPr>
        <w:t xml:space="preserve"> </w:t>
      </w:r>
      <w:r w:rsidR="005E2C6D" w:rsidRPr="005A0C0E">
        <w:rPr>
          <w:lang w:val="en-US"/>
        </w:rPr>
        <w:t>to run viable businesses.</w:t>
      </w:r>
      <w:r w:rsidR="00E70B0E" w:rsidRPr="005A0C0E">
        <w:rPr>
          <w:lang w:val="en-US"/>
        </w:rPr>
        <w:t xml:space="preserve"> </w:t>
      </w:r>
    </w:p>
    <w:p w:rsidR="0091412E" w:rsidRPr="005A0C0E" w:rsidRDefault="0091412E" w:rsidP="006828F0">
      <w:pPr>
        <w:spacing w:line="480" w:lineRule="auto"/>
        <w:rPr>
          <w:lang w:val="en-US"/>
        </w:rPr>
      </w:pPr>
      <w:r w:rsidRPr="005A0C0E">
        <w:rPr>
          <w:lang w:val="en-US"/>
        </w:rPr>
        <w:t>Lewis (2004) analy</w:t>
      </w:r>
      <w:r w:rsidR="006601AB" w:rsidRPr="005A0C0E">
        <w:rPr>
          <w:lang w:val="en-US"/>
        </w:rPr>
        <w:t>z</w:t>
      </w:r>
      <w:r w:rsidRPr="005A0C0E">
        <w:rPr>
          <w:lang w:val="en-US"/>
        </w:rPr>
        <w:t xml:space="preserve">es microfinance from the </w:t>
      </w:r>
      <w:r w:rsidR="006601AB" w:rsidRPr="005A0C0E">
        <w:rPr>
          <w:lang w:val="en-US"/>
        </w:rPr>
        <w:t>perspective</w:t>
      </w:r>
      <w:r w:rsidRPr="005A0C0E">
        <w:rPr>
          <w:lang w:val="en-US"/>
        </w:rPr>
        <w:t xml:space="preserve"> of women with disabilities in Zambia and Zimbabwe. The research illustrates that the MFI </w:t>
      </w:r>
      <w:r w:rsidR="006601AB" w:rsidRPr="005A0C0E">
        <w:rPr>
          <w:lang w:val="en-US"/>
        </w:rPr>
        <w:t xml:space="preserve">staff </w:t>
      </w:r>
      <w:r w:rsidRPr="005A0C0E">
        <w:rPr>
          <w:lang w:val="en-US"/>
        </w:rPr>
        <w:t xml:space="preserve">can be a major barrier to microfinance. </w:t>
      </w:r>
      <w:r w:rsidR="002B587A" w:rsidRPr="005A0C0E">
        <w:rPr>
          <w:lang w:val="en-US"/>
        </w:rPr>
        <w:t xml:space="preserve">In many cases, the 30 women </w:t>
      </w:r>
      <w:r w:rsidR="0091506E">
        <w:rPr>
          <w:lang w:val="en-US"/>
        </w:rPr>
        <w:t>from</w:t>
      </w:r>
      <w:r w:rsidR="0091506E" w:rsidRPr="005A0C0E">
        <w:rPr>
          <w:lang w:val="en-US"/>
        </w:rPr>
        <w:t xml:space="preserve"> </w:t>
      </w:r>
      <w:r w:rsidR="002B587A" w:rsidRPr="005A0C0E">
        <w:rPr>
          <w:lang w:val="en-US"/>
        </w:rPr>
        <w:t xml:space="preserve">the study </w:t>
      </w:r>
      <w:r w:rsidR="0091506E" w:rsidRPr="005A0C0E">
        <w:rPr>
          <w:lang w:val="en-US"/>
        </w:rPr>
        <w:t>repor</w:t>
      </w:r>
      <w:r w:rsidR="0091506E">
        <w:rPr>
          <w:lang w:val="en-US"/>
        </w:rPr>
        <w:t>ted</w:t>
      </w:r>
      <w:r w:rsidR="0091506E" w:rsidRPr="005A0C0E">
        <w:rPr>
          <w:lang w:val="en-US"/>
        </w:rPr>
        <w:t xml:space="preserve"> </w:t>
      </w:r>
      <w:r w:rsidR="002B587A" w:rsidRPr="005A0C0E">
        <w:rPr>
          <w:lang w:val="en-US"/>
        </w:rPr>
        <w:t xml:space="preserve">that the staff often </w:t>
      </w:r>
      <w:r w:rsidR="0091506E">
        <w:rPr>
          <w:lang w:val="en-US"/>
        </w:rPr>
        <w:t>appeared</w:t>
      </w:r>
      <w:r w:rsidR="0091506E" w:rsidRPr="005A0C0E">
        <w:rPr>
          <w:lang w:val="en-US"/>
        </w:rPr>
        <w:t xml:space="preserve"> </w:t>
      </w:r>
      <w:r w:rsidR="002B587A" w:rsidRPr="005A0C0E">
        <w:rPr>
          <w:lang w:val="en-US"/>
        </w:rPr>
        <w:t xml:space="preserve">to assume that </w:t>
      </w:r>
      <w:r w:rsidR="00B379D9" w:rsidRPr="005A0C0E">
        <w:rPr>
          <w:lang w:val="en-US"/>
        </w:rPr>
        <w:t>persons with disabilities</w:t>
      </w:r>
      <w:r w:rsidR="002B587A" w:rsidRPr="005A0C0E">
        <w:rPr>
          <w:lang w:val="en-US"/>
        </w:rPr>
        <w:t xml:space="preserve"> lack the ability to run </w:t>
      </w:r>
      <w:r w:rsidR="0091506E">
        <w:rPr>
          <w:lang w:val="en-US"/>
        </w:rPr>
        <w:t xml:space="preserve">a </w:t>
      </w:r>
      <w:r w:rsidR="002B587A" w:rsidRPr="005A0C0E">
        <w:rPr>
          <w:lang w:val="en-US"/>
        </w:rPr>
        <w:t xml:space="preserve">successful </w:t>
      </w:r>
      <w:r w:rsidR="0091506E" w:rsidRPr="005A0C0E">
        <w:rPr>
          <w:lang w:val="en-US"/>
        </w:rPr>
        <w:t>busines</w:t>
      </w:r>
      <w:r w:rsidR="0091506E">
        <w:rPr>
          <w:lang w:val="en-US"/>
        </w:rPr>
        <w:t>s</w:t>
      </w:r>
      <w:r w:rsidR="0091506E" w:rsidRPr="005A0C0E">
        <w:rPr>
          <w:lang w:val="en-US"/>
        </w:rPr>
        <w:t xml:space="preserve"> </w:t>
      </w:r>
      <w:r w:rsidR="002B587A" w:rsidRPr="005A0C0E">
        <w:rPr>
          <w:lang w:val="en-US"/>
        </w:rPr>
        <w:t>and</w:t>
      </w:r>
      <w:r w:rsidR="0091506E">
        <w:rPr>
          <w:lang w:val="en-US"/>
        </w:rPr>
        <w:t xml:space="preserve"> that they would</w:t>
      </w:r>
      <w:r w:rsidR="002B587A" w:rsidRPr="005A0C0E">
        <w:rPr>
          <w:lang w:val="en-US"/>
        </w:rPr>
        <w:t xml:space="preserve"> likely to experience repayment challenges. Moreover, Lewis (2004) presents evidence</w:t>
      </w:r>
      <w:r w:rsidR="00AB69AA" w:rsidRPr="005A0C0E">
        <w:rPr>
          <w:lang w:val="en-US"/>
        </w:rPr>
        <w:t xml:space="preserve"> that</w:t>
      </w:r>
      <w:r w:rsidR="002B587A" w:rsidRPr="005A0C0E">
        <w:rPr>
          <w:lang w:val="en-US"/>
        </w:rPr>
        <w:t xml:space="preserve"> MFIs require collateral of disabled </w:t>
      </w:r>
      <w:r w:rsidR="006601AB" w:rsidRPr="005A0C0E">
        <w:rPr>
          <w:lang w:val="en-US"/>
        </w:rPr>
        <w:t xml:space="preserve">but not of non-disabled </w:t>
      </w:r>
      <w:r w:rsidR="002B587A" w:rsidRPr="005A0C0E">
        <w:rPr>
          <w:lang w:val="en-US"/>
        </w:rPr>
        <w:t xml:space="preserve">credit applicants. The study also </w:t>
      </w:r>
      <w:r w:rsidR="00AC0425" w:rsidRPr="005A0C0E">
        <w:rPr>
          <w:lang w:val="en-US"/>
        </w:rPr>
        <w:t>indicates</w:t>
      </w:r>
      <w:r w:rsidR="002B587A" w:rsidRPr="005A0C0E">
        <w:rPr>
          <w:lang w:val="en-US"/>
        </w:rPr>
        <w:t xml:space="preserve"> inaccessible infrastructure and lack of appropriate adaptive equipment and resources a</w:t>
      </w:r>
      <w:r w:rsidR="00AC0425" w:rsidRPr="005A0C0E">
        <w:rPr>
          <w:lang w:val="en-US"/>
        </w:rPr>
        <w:t>s</w:t>
      </w:r>
      <w:r w:rsidR="002B587A" w:rsidRPr="005A0C0E">
        <w:rPr>
          <w:lang w:val="en-US"/>
        </w:rPr>
        <w:t xml:space="preserve"> serious barrier</w:t>
      </w:r>
      <w:r w:rsidR="00AC0425" w:rsidRPr="005A0C0E">
        <w:rPr>
          <w:lang w:val="en-US"/>
        </w:rPr>
        <w:t>s</w:t>
      </w:r>
      <w:r w:rsidR="002B587A" w:rsidRPr="005A0C0E">
        <w:rPr>
          <w:lang w:val="en-US"/>
        </w:rPr>
        <w:t xml:space="preserve">. Additionally, </w:t>
      </w:r>
      <w:r w:rsidR="000526FD" w:rsidRPr="005A0C0E">
        <w:rPr>
          <w:lang w:val="en-US"/>
        </w:rPr>
        <w:t xml:space="preserve">an </w:t>
      </w:r>
      <w:r w:rsidR="002B587A" w:rsidRPr="005A0C0E">
        <w:rPr>
          <w:lang w:val="en-US"/>
        </w:rPr>
        <w:t xml:space="preserve">informational barrier is highlighted by the study; many women did not know that community microfinance programs existed or that they would be eligible to participate. </w:t>
      </w:r>
    </w:p>
    <w:p w:rsidR="00AC2BA4" w:rsidRPr="005A0C0E" w:rsidRDefault="00F3717A" w:rsidP="006828F0">
      <w:pPr>
        <w:spacing w:line="480" w:lineRule="auto"/>
        <w:rPr>
          <w:lang w:val="en-US"/>
        </w:rPr>
      </w:pPr>
      <w:r w:rsidRPr="005A0C0E">
        <w:rPr>
          <w:lang w:val="en-US"/>
        </w:rPr>
        <w:t xml:space="preserve">In a case study from Bamako </w:t>
      </w:r>
      <w:r w:rsidR="00E215B1" w:rsidRPr="005A0C0E">
        <w:rPr>
          <w:lang w:val="en-US"/>
        </w:rPr>
        <w:t xml:space="preserve">in </w:t>
      </w:r>
      <w:r w:rsidRPr="005A0C0E">
        <w:rPr>
          <w:lang w:val="en-US"/>
        </w:rPr>
        <w:t xml:space="preserve">Mali, </w:t>
      </w:r>
      <w:proofErr w:type="spellStart"/>
      <w:r w:rsidRPr="005A0C0E">
        <w:rPr>
          <w:lang w:val="en-US"/>
        </w:rPr>
        <w:t>Ormazabal</w:t>
      </w:r>
      <w:proofErr w:type="spellEnd"/>
      <w:r w:rsidRPr="005A0C0E">
        <w:rPr>
          <w:lang w:val="en-US"/>
        </w:rPr>
        <w:t xml:space="preserve"> (2010) focuses particularly on </w:t>
      </w:r>
      <w:r w:rsidR="00B379D9" w:rsidRPr="005A0C0E">
        <w:rPr>
          <w:lang w:val="en-US"/>
        </w:rPr>
        <w:t>persons with disabilities</w:t>
      </w:r>
      <w:r w:rsidR="00D26A2C" w:rsidRPr="005A0C0E">
        <w:rPr>
          <w:lang w:val="en-US"/>
        </w:rPr>
        <w:t>’ ability to contribute to the double bottom line of MFIs</w:t>
      </w:r>
      <w:r w:rsidR="000B3FA3" w:rsidRPr="005A0C0E">
        <w:rPr>
          <w:lang w:val="en-US"/>
        </w:rPr>
        <w:t xml:space="preserve">, </w:t>
      </w:r>
      <w:r w:rsidR="0034349F" w:rsidRPr="005A0C0E">
        <w:rPr>
          <w:lang w:val="en-US"/>
        </w:rPr>
        <w:t xml:space="preserve">i.e., to </w:t>
      </w:r>
      <w:r w:rsidR="000B3FA3" w:rsidRPr="005A0C0E">
        <w:rPr>
          <w:lang w:val="en-US"/>
        </w:rPr>
        <w:t xml:space="preserve">both </w:t>
      </w:r>
      <w:r w:rsidR="0034349F" w:rsidRPr="005A0C0E">
        <w:rPr>
          <w:lang w:val="en-US"/>
        </w:rPr>
        <w:t xml:space="preserve">the </w:t>
      </w:r>
      <w:r w:rsidR="000B3FA3" w:rsidRPr="005A0C0E">
        <w:rPr>
          <w:lang w:val="en-US"/>
        </w:rPr>
        <w:t>financial and social</w:t>
      </w:r>
      <w:r w:rsidR="0034349F" w:rsidRPr="005A0C0E">
        <w:rPr>
          <w:lang w:val="en-US"/>
        </w:rPr>
        <w:t xml:space="preserve"> objectives of the organizations</w:t>
      </w:r>
      <w:r w:rsidR="00D26A2C" w:rsidRPr="005A0C0E">
        <w:rPr>
          <w:lang w:val="en-US"/>
        </w:rPr>
        <w:t xml:space="preserve">. She concludes that persons with disabilities can be better clients </w:t>
      </w:r>
      <w:r w:rsidR="003B402F" w:rsidRPr="005A0C0E">
        <w:rPr>
          <w:lang w:val="en-US"/>
        </w:rPr>
        <w:t xml:space="preserve">for MFIs </w:t>
      </w:r>
      <w:r w:rsidR="00D26A2C" w:rsidRPr="005A0C0E">
        <w:rPr>
          <w:lang w:val="en-US"/>
        </w:rPr>
        <w:t>than non-</w:t>
      </w:r>
      <w:r w:rsidR="00D20E11" w:rsidRPr="005A0C0E">
        <w:rPr>
          <w:lang w:val="en-US"/>
        </w:rPr>
        <w:t>disabled persons</w:t>
      </w:r>
      <w:r w:rsidR="00D26A2C" w:rsidRPr="005A0C0E">
        <w:rPr>
          <w:lang w:val="en-US"/>
        </w:rPr>
        <w:t xml:space="preserve">. </w:t>
      </w:r>
      <w:r w:rsidR="000526FD" w:rsidRPr="005A0C0E">
        <w:rPr>
          <w:lang w:val="en-US"/>
        </w:rPr>
        <w:t>Nevertheless</w:t>
      </w:r>
      <w:r w:rsidR="00D26A2C" w:rsidRPr="005A0C0E">
        <w:rPr>
          <w:lang w:val="en-US"/>
        </w:rPr>
        <w:t xml:space="preserve">, she finds that persons with disabilities remain a </w:t>
      </w:r>
      <w:r w:rsidR="000526FD" w:rsidRPr="005A0C0E">
        <w:rPr>
          <w:lang w:val="en-US"/>
        </w:rPr>
        <w:t>stigmatized</w:t>
      </w:r>
      <w:r w:rsidR="00D26A2C" w:rsidRPr="005A0C0E">
        <w:rPr>
          <w:lang w:val="en-US"/>
        </w:rPr>
        <w:t xml:space="preserve"> segment of the population.</w:t>
      </w:r>
      <w:r w:rsidR="00BF6400" w:rsidRPr="005A0C0E">
        <w:rPr>
          <w:lang w:val="en-US"/>
        </w:rPr>
        <w:t xml:space="preserve"> Th</w:t>
      </w:r>
      <w:r w:rsidR="003B402F" w:rsidRPr="005A0C0E">
        <w:rPr>
          <w:lang w:val="en-US"/>
        </w:rPr>
        <w:t xml:space="preserve">is </w:t>
      </w:r>
      <w:r w:rsidR="00BF6400" w:rsidRPr="005A0C0E">
        <w:rPr>
          <w:lang w:val="en-US"/>
        </w:rPr>
        <w:t xml:space="preserve">view that </w:t>
      </w:r>
      <w:r w:rsidR="00B379D9" w:rsidRPr="005A0C0E">
        <w:rPr>
          <w:lang w:val="en-US"/>
        </w:rPr>
        <w:t>persons with disabilities</w:t>
      </w:r>
      <w:r w:rsidR="00BF6400" w:rsidRPr="005A0C0E">
        <w:rPr>
          <w:lang w:val="en-US"/>
        </w:rPr>
        <w:t xml:space="preserve"> are</w:t>
      </w:r>
      <w:r w:rsidR="003B402F" w:rsidRPr="005A0C0E">
        <w:rPr>
          <w:lang w:val="en-US"/>
        </w:rPr>
        <w:t xml:space="preserve"> </w:t>
      </w:r>
      <w:r w:rsidR="009C740C" w:rsidRPr="005A0C0E">
        <w:rPr>
          <w:lang w:val="en-US"/>
        </w:rPr>
        <w:t>stigmatized</w:t>
      </w:r>
      <w:r w:rsidR="003B402F" w:rsidRPr="005A0C0E">
        <w:rPr>
          <w:lang w:val="en-US"/>
        </w:rPr>
        <w:t xml:space="preserve"> and considered</w:t>
      </w:r>
      <w:r w:rsidR="00BF6400" w:rsidRPr="005A0C0E">
        <w:rPr>
          <w:lang w:val="en-US"/>
        </w:rPr>
        <w:t xml:space="preserve"> unproductive and risky </w:t>
      </w:r>
      <w:r w:rsidR="00505510">
        <w:rPr>
          <w:lang w:val="en-US"/>
        </w:rPr>
        <w:t>clients</w:t>
      </w:r>
      <w:r w:rsidR="00505510" w:rsidRPr="005A0C0E">
        <w:rPr>
          <w:lang w:val="en-US"/>
        </w:rPr>
        <w:t xml:space="preserve"> </w:t>
      </w:r>
      <w:r w:rsidR="00CE378D">
        <w:rPr>
          <w:lang w:val="en-US"/>
        </w:rPr>
        <w:t>is</w:t>
      </w:r>
      <w:r w:rsidR="00505510" w:rsidRPr="005A0C0E">
        <w:rPr>
          <w:lang w:val="en-US"/>
        </w:rPr>
        <w:t xml:space="preserve"> </w:t>
      </w:r>
      <w:r w:rsidR="00BF6400" w:rsidRPr="005A0C0E">
        <w:rPr>
          <w:lang w:val="en-US"/>
        </w:rPr>
        <w:t xml:space="preserve">also </w:t>
      </w:r>
      <w:r w:rsidR="00505510">
        <w:rPr>
          <w:lang w:val="en-US"/>
        </w:rPr>
        <w:t>observed</w:t>
      </w:r>
      <w:r w:rsidR="00505510" w:rsidRPr="005A0C0E">
        <w:rPr>
          <w:lang w:val="en-US"/>
        </w:rPr>
        <w:t xml:space="preserve"> </w:t>
      </w:r>
      <w:r w:rsidR="00BF6400" w:rsidRPr="005A0C0E">
        <w:rPr>
          <w:lang w:val="en-US"/>
        </w:rPr>
        <w:t>in Pakistan (Ahmad and Ahmad, 2011).</w:t>
      </w:r>
    </w:p>
    <w:p w:rsidR="00431631" w:rsidRPr="005A0C0E" w:rsidRDefault="00AC2BA4" w:rsidP="006828F0">
      <w:pPr>
        <w:spacing w:line="480" w:lineRule="auto"/>
        <w:rPr>
          <w:lang w:val="en-US"/>
        </w:rPr>
      </w:pPr>
      <w:r w:rsidRPr="005A0C0E">
        <w:rPr>
          <w:lang w:val="en-US"/>
        </w:rPr>
        <w:t xml:space="preserve">Collectively, the reviewed research confirms that access to microfinance services is limited for persons with disabilities. The importance of the barriers outlined in Sub-Section 2.1 is </w:t>
      </w:r>
      <w:r w:rsidR="009C740C" w:rsidRPr="005A0C0E">
        <w:rPr>
          <w:lang w:val="en-US"/>
        </w:rPr>
        <w:t xml:space="preserve">emphasized </w:t>
      </w:r>
      <w:r w:rsidRPr="005A0C0E">
        <w:rPr>
          <w:lang w:val="en-US"/>
        </w:rPr>
        <w:t>by several studies</w:t>
      </w:r>
      <w:r w:rsidR="009C740C" w:rsidRPr="005A0C0E">
        <w:rPr>
          <w:lang w:val="en-US"/>
        </w:rPr>
        <w:t>; however,</w:t>
      </w:r>
      <w:r w:rsidRPr="005A0C0E">
        <w:rPr>
          <w:lang w:val="en-US"/>
        </w:rPr>
        <w:t xml:space="preserve"> the perceived importance of the various barriers varies between the studies. However, </w:t>
      </w:r>
      <w:r w:rsidR="00E6065A" w:rsidRPr="005A0C0E">
        <w:rPr>
          <w:lang w:val="en-US"/>
        </w:rPr>
        <w:t xml:space="preserve">all studies </w:t>
      </w:r>
      <w:r w:rsidR="009C740C" w:rsidRPr="005A0C0E">
        <w:rPr>
          <w:lang w:val="en-US"/>
        </w:rPr>
        <w:t>appear</w:t>
      </w:r>
      <w:r w:rsidR="00E6065A" w:rsidRPr="005A0C0E">
        <w:rPr>
          <w:lang w:val="en-US"/>
        </w:rPr>
        <w:t xml:space="preserve"> to take for granted that access to credit </w:t>
      </w:r>
      <w:r w:rsidR="008D59E8" w:rsidRPr="005A0C0E">
        <w:rPr>
          <w:lang w:val="en-US"/>
        </w:rPr>
        <w:t>would</w:t>
      </w:r>
      <w:r w:rsidR="00E6065A" w:rsidRPr="005A0C0E">
        <w:rPr>
          <w:lang w:val="en-US"/>
        </w:rPr>
        <w:t xml:space="preserve"> benefit </w:t>
      </w:r>
      <w:r w:rsidR="00B379D9" w:rsidRPr="005A0C0E">
        <w:rPr>
          <w:lang w:val="en-US"/>
        </w:rPr>
        <w:t xml:space="preserve">persons </w:t>
      </w:r>
      <w:r w:rsidR="00B379D9" w:rsidRPr="005A0C0E">
        <w:rPr>
          <w:lang w:val="en-US"/>
        </w:rPr>
        <w:lastRenderedPageBreak/>
        <w:t>with disabilities</w:t>
      </w:r>
      <w:r w:rsidR="00E6065A" w:rsidRPr="005A0C0E">
        <w:rPr>
          <w:lang w:val="en-US"/>
        </w:rPr>
        <w:t xml:space="preserve">. No study actually investigates to what extent access to credit improves the outcome of self-employment activities among </w:t>
      </w:r>
      <w:r w:rsidR="00B379D9" w:rsidRPr="005A0C0E">
        <w:rPr>
          <w:lang w:val="en-US"/>
        </w:rPr>
        <w:t>persons with disabilities</w:t>
      </w:r>
      <w:r w:rsidR="0007201A" w:rsidRPr="005A0C0E">
        <w:rPr>
          <w:lang w:val="en-US"/>
        </w:rPr>
        <w:t xml:space="preserve"> or whether better access to credit increases the portion of </w:t>
      </w:r>
      <w:r w:rsidR="00B379D9" w:rsidRPr="005A0C0E">
        <w:rPr>
          <w:lang w:val="en-US"/>
        </w:rPr>
        <w:t>persons with disabilities</w:t>
      </w:r>
      <w:r w:rsidR="0007201A" w:rsidRPr="005A0C0E">
        <w:rPr>
          <w:lang w:val="en-US"/>
        </w:rPr>
        <w:t xml:space="preserve"> being self-employed</w:t>
      </w:r>
      <w:r w:rsidR="00E6065A" w:rsidRPr="005A0C0E">
        <w:rPr>
          <w:lang w:val="en-US"/>
        </w:rPr>
        <w:t xml:space="preserve">. Another weakness of the surveyed literature is that it focuses nearly entirely on credit and </w:t>
      </w:r>
      <w:r w:rsidR="00FA2BAF" w:rsidRPr="005A0C0E">
        <w:rPr>
          <w:lang w:val="en-US"/>
        </w:rPr>
        <w:t>do</w:t>
      </w:r>
      <w:r w:rsidR="007F7BE3" w:rsidRPr="005A0C0E">
        <w:rPr>
          <w:lang w:val="en-US"/>
        </w:rPr>
        <w:t>es</w:t>
      </w:r>
      <w:r w:rsidR="00FA2BAF" w:rsidRPr="005A0C0E">
        <w:rPr>
          <w:lang w:val="en-US"/>
        </w:rPr>
        <w:t xml:space="preserve"> not </w:t>
      </w:r>
      <w:r w:rsidR="0007201A" w:rsidRPr="005A0C0E">
        <w:rPr>
          <w:lang w:val="en-US"/>
        </w:rPr>
        <w:t>include savings (and insurance) services.</w:t>
      </w:r>
    </w:p>
    <w:p w:rsidR="0007201A" w:rsidRPr="005A0C0E" w:rsidRDefault="0007201A" w:rsidP="006828F0">
      <w:pPr>
        <w:spacing w:line="480" w:lineRule="auto"/>
        <w:rPr>
          <w:lang w:val="en-US"/>
        </w:rPr>
      </w:pPr>
    </w:p>
    <w:p w:rsidR="00431631" w:rsidRPr="005A0C0E" w:rsidRDefault="00431631" w:rsidP="006828F0">
      <w:pPr>
        <w:spacing w:line="480" w:lineRule="auto"/>
        <w:rPr>
          <w:b/>
          <w:lang w:val="en-US"/>
        </w:rPr>
      </w:pPr>
      <w:r w:rsidRPr="005A0C0E">
        <w:rPr>
          <w:b/>
          <w:lang w:val="en-US"/>
        </w:rPr>
        <w:t>3. The Ugandan Case</w:t>
      </w:r>
    </w:p>
    <w:p w:rsidR="004E05EF" w:rsidRPr="005A0C0E" w:rsidRDefault="0007201A" w:rsidP="004E05EF">
      <w:pPr>
        <w:spacing w:line="480" w:lineRule="auto"/>
        <w:rPr>
          <w:lang w:val="en-US"/>
        </w:rPr>
      </w:pPr>
      <w:r w:rsidRPr="005A0C0E">
        <w:rPr>
          <w:lang w:val="en-US"/>
        </w:rPr>
        <w:t>Recently</w:t>
      </w:r>
      <w:r w:rsidR="004E05EF" w:rsidRPr="005A0C0E">
        <w:rPr>
          <w:lang w:val="en-US"/>
        </w:rPr>
        <w:t xml:space="preserve">, using Ugandan survey </w:t>
      </w:r>
      <w:r w:rsidRPr="005A0C0E">
        <w:rPr>
          <w:lang w:val="en-US"/>
        </w:rPr>
        <w:t>data,</w:t>
      </w:r>
      <w:r w:rsidR="004E05EF" w:rsidRPr="005A0C0E">
        <w:rPr>
          <w:lang w:val="en-US"/>
        </w:rPr>
        <w:t xml:space="preserve"> we conducted several studies </w:t>
      </w:r>
      <w:r w:rsidRPr="005A0C0E">
        <w:rPr>
          <w:lang w:val="en-US"/>
        </w:rPr>
        <w:t xml:space="preserve">to better understand </w:t>
      </w:r>
      <w:r w:rsidR="000F26FC" w:rsidRPr="005A0C0E">
        <w:rPr>
          <w:lang w:val="en-US"/>
        </w:rPr>
        <w:t xml:space="preserve">the concept of ‘microfinance </w:t>
      </w:r>
      <w:r w:rsidR="00FA2BAF" w:rsidRPr="005A0C0E">
        <w:rPr>
          <w:lang w:val="en-US"/>
        </w:rPr>
        <w:t xml:space="preserve">and </w:t>
      </w:r>
      <w:r w:rsidR="000F26FC" w:rsidRPr="005A0C0E">
        <w:rPr>
          <w:lang w:val="en-US"/>
        </w:rPr>
        <w:t>disability’</w:t>
      </w:r>
      <w:r w:rsidRPr="005A0C0E">
        <w:rPr>
          <w:lang w:val="en-US"/>
        </w:rPr>
        <w:t xml:space="preserve"> </w:t>
      </w:r>
      <w:r w:rsidR="004E05EF" w:rsidRPr="005A0C0E">
        <w:rPr>
          <w:lang w:val="en-US"/>
        </w:rPr>
        <w:t>(</w:t>
      </w:r>
      <w:r w:rsidRPr="005A0C0E">
        <w:rPr>
          <w:lang w:val="en-US"/>
        </w:rPr>
        <w:t xml:space="preserve">Beisland and Mersland, </w:t>
      </w:r>
      <w:r w:rsidR="004E05EF" w:rsidRPr="005A0C0E">
        <w:rPr>
          <w:lang w:val="en-US"/>
        </w:rPr>
        <w:t>2012a; 2012b; 2012c; 2012d)</w:t>
      </w:r>
      <w:r w:rsidR="000F26FC" w:rsidRPr="005A0C0E">
        <w:rPr>
          <w:lang w:val="en-US"/>
        </w:rPr>
        <w:t xml:space="preserve">. The data come from two different surveys from 2008, one conducted by the National Union of </w:t>
      </w:r>
      <w:r w:rsidR="00D20E11" w:rsidRPr="005A0C0E">
        <w:rPr>
          <w:lang w:val="en-US"/>
        </w:rPr>
        <w:t>Disabled Persons</w:t>
      </w:r>
      <w:r w:rsidR="000F26FC" w:rsidRPr="005A0C0E">
        <w:rPr>
          <w:lang w:val="en-US"/>
        </w:rPr>
        <w:t xml:space="preserve"> of Uganda (NUDIPU) and the other collected by the Association of Microfinance Institutions of Uganda (AMFIU). </w:t>
      </w:r>
      <w:r w:rsidR="00FC263B" w:rsidRPr="005A0C0E">
        <w:rPr>
          <w:lang w:val="en-US"/>
        </w:rPr>
        <w:t>The Norwegian Association of Disabled supported the surveys</w:t>
      </w:r>
      <w:r w:rsidR="00FC263B" w:rsidRPr="005A0C0E">
        <w:rPr>
          <w:rStyle w:val="Fotnotereferanse"/>
          <w:lang w:val="en-US"/>
        </w:rPr>
        <w:footnoteReference w:id="1"/>
      </w:r>
      <w:r w:rsidR="00FC263B" w:rsidRPr="005A0C0E">
        <w:rPr>
          <w:lang w:val="en-US"/>
        </w:rPr>
        <w:t xml:space="preserve">. </w:t>
      </w:r>
      <w:r w:rsidR="008C5573" w:rsidRPr="005A0C0E">
        <w:rPr>
          <w:lang w:val="en-US"/>
        </w:rPr>
        <w:t xml:space="preserve">The data from NUDIPU were collected in trainings </w:t>
      </w:r>
      <w:r w:rsidR="00DD5B24" w:rsidRPr="005A0C0E">
        <w:rPr>
          <w:lang w:val="en-US"/>
        </w:rPr>
        <w:t>organized</w:t>
      </w:r>
      <w:r w:rsidR="008C5573" w:rsidRPr="005A0C0E">
        <w:rPr>
          <w:lang w:val="en-US"/>
        </w:rPr>
        <w:t xml:space="preserve"> for </w:t>
      </w:r>
      <w:r w:rsidR="008C5573" w:rsidRPr="005A0C0E">
        <w:rPr>
          <w:i/>
          <w:lang w:val="en-US"/>
        </w:rPr>
        <w:t>economically active</w:t>
      </w:r>
      <w:r w:rsidR="008C5573" w:rsidRPr="005A0C0E">
        <w:rPr>
          <w:lang w:val="en-US"/>
        </w:rPr>
        <w:t xml:space="preserve"> </w:t>
      </w:r>
      <w:r w:rsidR="00B379D9" w:rsidRPr="005A0C0E">
        <w:rPr>
          <w:lang w:val="en-US"/>
        </w:rPr>
        <w:t>persons with disabilities</w:t>
      </w:r>
      <w:r w:rsidR="008C5573" w:rsidRPr="005A0C0E">
        <w:rPr>
          <w:lang w:val="en-US"/>
        </w:rPr>
        <w:t>. An economic activity was defined as anything from the smallest farm</w:t>
      </w:r>
      <w:r w:rsidR="00632D5A" w:rsidRPr="005A0C0E">
        <w:rPr>
          <w:lang w:val="en-US"/>
        </w:rPr>
        <w:t xml:space="preserve"> or</w:t>
      </w:r>
      <w:r w:rsidR="008C5573" w:rsidRPr="005A0C0E">
        <w:rPr>
          <w:lang w:val="en-US"/>
        </w:rPr>
        <w:t xml:space="preserve"> the tiniest kiosk.</w:t>
      </w:r>
      <w:r w:rsidR="00632D5A" w:rsidRPr="005A0C0E">
        <w:rPr>
          <w:lang w:val="en-US"/>
        </w:rPr>
        <w:t xml:space="preserve"> The AMFIU data </w:t>
      </w:r>
      <w:r w:rsidR="00D03D89" w:rsidRPr="005A0C0E">
        <w:rPr>
          <w:lang w:val="en-US"/>
        </w:rPr>
        <w:t xml:space="preserve">were </w:t>
      </w:r>
      <w:r w:rsidR="00632D5A" w:rsidRPr="005A0C0E">
        <w:rPr>
          <w:lang w:val="en-US"/>
        </w:rPr>
        <w:t>collected from MFI staff participating in awareness</w:t>
      </w:r>
      <w:r w:rsidR="00DD5B24" w:rsidRPr="005A0C0E">
        <w:rPr>
          <w:lang w:val="en-US"/>
        </w:rPr>
        <w:t>-</w:t>
      </w:r>
      <w:r w:rsidR="00632D5A" w:rsidRPr="005A0C0E">
        <w:rPr>
          <w:lang w:val="en-US"/>
        </w:rPr>
        <w:t xml:space="preserve">creation sessions in MFI branches. </w:t>
      </w:r>
      <w:r w:rsidR="004D21F3" w:rsidRPr="005A0C0E">
        <w:rPr>
          <w:lang w:val="en-US"/>
        </w:rPr>
        <w:t xml:space="preserve">Both surveys were originally designed </w:t>
      </w:r>
      <w:r w:rsidR="00505510">
        <w:rPr>
          <w:lang w:val="en-US"/>
        </w:rPr>
        <w:t>to</w:t>
      </w:r>
      <w:r w:rsidR="004D21F3" w:rsidRPr="005A0C0E">
        <w:rPr>
          <w:lang w:val="en-US"/>
        </w:rPr>
        <w:t xml:space="preserve"> </w:t>
      </w:r>
      <w:r w:rsidR="00505510" w:rsidRPr="005A0C0E">
        <w:rPr>
          <w:lang w:val="en-US"/>
        </w:rPr>
        <w:t>improv</w:t>
      </w:r>
      <w:r w:rsidR="00505510">
        <w:rPr>
          <w:lang w:val="en-US"/>
        </w:rPr>
        <w:t>e</w:t>
      </w:r>
      <w:r w:rsidR="00505510" w:rsidRPr="005A0C0E">
        <w:rPr>
          <w:lang w:val="en-US"/>
        </w:rPr>
        <w:t xml:space="preserve"> </w:t>
      </w:r>
      <w:r w:rsidR="004D21F3" w:rsidRPr="005A0C0E">
        <w:rPr>
          <w:lang w:val="en-US"/>
        </w:rPr>
        <w:t xml:space="preserve">the design of a project where NUDIPU and AMFIU </w:t>
      </w:r>
      <w:r w:rsidR="00FA2BAF" w:rsidRPr="005A0C0E">
        <w:rPr>
          <w:lang w:val="en-US"/>
        </w:rPr>
        <w:t xml:space="preserve">had </w:t>
      </w:r>
      <w:r w:rsidR="004D21F3" w:rsidRPr="005A0C0E">
        <w:rPr>
          <w:lang w:val="en-US"/>
        </w:rPr>
        <w:t xml:space="preserve">joined forces to </w:t>
      </w:r>
      <w:r w:rsidR="00FA2BAF" w:rsidRPr="005A0C0E">
        <w:rPr>
          <w:lang w:val="en-US"/>
        </w:rPr>
        <w:t xml:space="preserve">increase </w:t>
      </w:r>
      <w:r w:rsidR="00B379D9" w:rsidRPr="005A0C0E">
        <w:rPr>
          <w:lang w:val="en-US"/>
        </w:rPr>
        <w:t>persons with disabilities</w:t>
      </w:r>
      <w:r w:rsidR="004D21F3" w:rsidRPr="005A0C0E">
        <w:rPr>
          <w:lang w:val="en-US"/>
        </w:rPr>
        <w:t xml:space="preserve">’ access to mainstream MFIs. </w:t>
      </w:r>
      <w:r w:rsidR="000F26FC" w:rsidRPr="005A0C0E">
        <w:rPr>
          <w:lang w:val="en-US"/>
        </w:rPr>
        <w:t>In what follows</w:t>
      </w:r>
      <w:r w:rsidR="00DD5B24" w:rsidRPr="005A0C0E">
        <w:rPr>
          <w:lang w:val="en-US"/>
        </w:rPr>
        <w:t>,</w:t>
      </w:r>
      <w:r w:rsidR="000F26FC" w:rsidRPr="005A0C0E">
        <w:rPr>
          <w:lang w:val="en-US"/>
        </w:rPr>
        <w:t xml:space="preserve"> we</w:t>
      </w:r>
      <w:r w:rsidR="004E05EF" w:rsidRPr="005A0C0E">
        <w:rPr>
          <w:lang w:val="en-US"/>
        </w:rPr>
        <w:t xml:space="preserve"> present the main findings of our four empirical studies. </w:t>
      </w:r>
    </w:p>
    <w:p w:rsidR="00F22CF7" w:rsidRPr="005A0C0E" w:rsidRDefault="00F22CF7" w:rsidP="001D2446">
      <w:pPr>
        <w:spacing w:line="480" w:lineRule="auto"/>
        <w:rPr>
          <w:lang w:val="en-US"/>
        </w:rPr>
      </w:pPr>
    </w:p>
    <w:p w:rsidR="00323724" w:rsidRPr="005A0C0E" w:rsidRDefault="00323724" w:rsidP="001D2446">
      <w:pPr>
        <w:spacing w:line="480" w:lineRule="auto"/>
        <w:rPr>
          <w:b/>
          <w:lang w:val="en-US"/>
        </w:rPr>
      </w:pPr>
      <w:r w:rsidRPr="005A0C0E">
        <w:rPr>
          <w:b/>
          <w:lang w:val="en-US"/>
        </w:rPr>
        <w:t>3.</w:t>
      </w:r>
      <w:r w:rsidR="00632D5A" w:rsidRPr="005A0C0E">
        <w:rPr>
          <w:b/>
          <w:lang w:val="en-US"/>
        </w:rPr>
        <w:t>1</w:t>
      </w:r>
      <w:r w:rsidRPr="005A0C0E">
        <w:rPr>
          <w:b/>
          <w:lang w:val="en-US"/>
        </w:rPr>
        <w:t>. Access to microfinance</w:t>
      </w:r>
    </w:p>
    <w:p w:rsidR="00AC4134" w:rsidRPr="005A0C0E" w:rsidRDefault="008972D4" w:rsidP="001D2446">
      <w:pPr>
        <w:spacing w:line="480" w:lineRule="auto"/>
        <w:rPr>
          <w:lang w:val="en-US"/>
        </w:rPr>
      </w:pPr>
      <w:r w:rsidRPr="005A0C0E">
        <w:rPr>
          <w:lang w:val="en-US"/>
        </w:rPr>
        <w:lastRenderedPageBreak/>
        <w:t xml:space="preserve">While </w:t>
      </w:r>
      <w:r w:rsidR="00CE378D">
        <w:rPr>
          <w:lang w:val="en-US"/>
        </w:rPr>
        <w:t>the first</w:t>
      </w:r>
      <w:r w:rsidRPr="005A0C0E">
        <w:rPr>
          <w:lang w:val="en-US"/>
        </w:rPr>
        <w:t xml:space="preserve"> study does not speak to the overall access of people with disabilities to microfinance, it does demonstrate </w:t>
      </w:r>
      <w:r w:rsidR="0023506E" w:rsidRPr="005A0C0E">
        <w:rPr>
          <w:lang w:val="en-US"/>
        </w:rPr>
        <w:t>that, a</w:t>
      </w:r>
      <w:r w:rsidR="00A51B71" w:rsidRPr="005A0C0E">
        <w:rPr>
          <w:lang w:val="en-US"/>
        </w:rPr>
        <w:t xml:space="preserve">pplying a broad definition </w:t>
      </w:r>
      <w:r w:rsidR="0023506E" w:rsidRPr="005A0C0E">
        <w:rPr>
          <w:lang w:val="en-US"/>
        </w:rPr>
        <w:t>of</w:t>
      </w:r>
      <w:r w:rsidR="00A51B71" w:rsidRPr="005A0C0E">
        <w:rPr>
          <w:lang w:val="en-US"/>
        </w:rPr>
        <w:t xml:space="preserve"> microfinance</w:t>
      </w:r>
      <w:r w:rsidR="0023506E" w:rsidRPr="005A0C0E">
        <w:rPr>
          <w:lang w:val="en-US"/>
        </w:rPr>
        <w:t>,</w:t>
      </w:r>
      <w:r w:rsidR="00323724" w:rsidRPr="005A0C0E">
        <w:rPr>
          <w:lang w:val="en-US"/>
        </w:rPr>
        <w:t xml:space="preserve"> </w:t>
      </w:r>
      <w:r w:rsidR="00A51B71" w:rsidRPr="005A0C0E">
        <w:rPr>
          <w:i/>
          <w:lang w:val="en-US"/>
        </w:rPr>
        <w:t>economically active</w:t>
      </w:r>
      <w:r w:rsidR="00A51B71" w:rsidRPr="005A0C0E">
        <w:rPr>
          <w:lang w:val="en-US"/>
        </w:rPr>
        <w:t xml:space="preserve"> </w:t>
      </w:r>
      <w:r w:rsidR="00B379D9" w:rsidRPr="005A0C0E">
        <w:rPr>
          <w:lang w:val="en-US"/>
        </w:rPr>
        <w:t>persons with disabilities</w:t>
      </w:r>
      <w:r w:rsidR="00A51B71" w:rsidRPr="005A0C0E">
        <w:rPr>
          <w:lang w:val="en-US"/>
        </w:rPr>
        <w:t xml:space="preserve"> have better</w:t>
      </w:r>
      <w:r w:rsidR="00323724" w:rsidRPr="005A0C0E">
        <w:rPr>
          <w:lang w:val="en-US"/>
        </w:rPr>
        <w:t xml:space="preserve"> access to microfinance than previously assumed (Beisland and Mersland, 2012</w:t>
      </w:r>
      <w:r w:rsidR="003773B7" w:rsidRPr="005A0C0E">
        <w:rPr>
          <w:lang w:val="en-US"/>
        </w:rPr>
        <w:t>d</w:t>
      </w:r>
      <w:r w:rsidR="00323724" w:rsidRPr="005A0C0E">
        <w:rPr>
          <w:lang w:val="en-US"/>
        </w:rPr>
        <w:t>).</w:t>
      </w:r>
      <w:r w:rsidR="00DD5B24" w:rsidRPr="005A0C0E">
        <w:rPr>
          <w:lang w:val="en-US"/>
        </w:rPr>
        <w:t xml:space="preserve"> Out</w:t>
      </w:r>
      <w:r w:rsidR="00323724" w:rsidRPr="005A0C0E">
        <w:rPr>
          <w:lang w:val="en-US"/>
        </w:rPr>
        <w:t xml:space="preserve"> of the 841 respondents</w:t>
      </w:r>
      <w:r w:rsidR="00DD5B24" w:rsidRPr="005A0C0E">
        <w:rPr>
          <w:lang w:val="en-US"/>
        </w:rPr>
        <w:t>, 748</w:t>
      </w:r>
      <w:r w:rsidR="00323724" w:rsidRPr="005A0C0E">
        <w:rPr>
          <w:lang w:val="en-US"/>
        </w:rPr>
        <w:t xml:space="preserve"> (89%) have used at least one type of microfinance </w:t>
      </w:r>
      <w:r w:rsidR="00505510" w:rsidRPr="005A0C0E">
        <w:rPr>
          <w:lang w:val="en-US"/>
        </w:rPr>
        <w:t>servic</w:t>
      </w:r>
      <w:r w:rsidR="00505510">
        <w:rPr>
          <w:lang w:val="en-US"/>
        </w:rPr>
        <w:t>e</w:t>
      </w:r>
      <w:r w:rsidR="00323724" w:rsidRPr="005A0C0E">
        <w:rPr>
          <w:lang w:val="en-US"/>
        </w:rPr>
        <w:t>. The survey splits microfinance services into two broad categories</w:t>
      </w:r>
      <w:r w:rsidR="000B3FA3" w:rsidRPr="005A0C0E">
        <w:rPr>
          <w:lang w:val="en-US"/>
        </w:rPr>
        <w:t xml:space="preserve">: </w:t>
      </w:r>
      <w:r w:rsidR="00323724" w:rsidRPr="005A0C0E">
        <w:rPr>
          <w:lang w:val="en-US"/>
        </w:rPr>
        <w:t>informal and formal services. Membership in Rotating Savings and Credit Associations (ROSCAs</w:t>
      </w:r>
      <w:r w:rsidR="00AB768F" w:rsidRPr="005A0C0E">
        <w:rPr>
          <w:rStyle w:val="Fotnotereferanse"/>
          <w:lang w:val="en-US"/>
        </w:rPr>
        <w:footnoteReference w:id="2"/>
      </w:r>
      <w:r w:rsidR="00A51B71" w:rsidRPr="005A0C0E">
        <w:rPr>
          <w:lang w:val="en-US"/>
        </w:rPr>
        <w:t xml:space="preserve">) or any </w:t>
      </w:r>
      <w:r w:rsidR="0018494B" w:rsidRPr="005A0C0E">
        <w:rPr>
          <w:lang w:val="en-US"/>
        </w:rPr>
        <w:t>type</w:t>
      </w:r>
      <w:r w:rsidR="00A51B71" w:rsidRPr="005A0C0E">
        <w:rPr>
          <w:lang w:val="en-US"/>
        </w:rPr>
        <w:t xml:space="preserve"> of traditional saving activity</w:t>
      </w:r>
      <w:r w:rsidR="00323724" w:rsidRPr="005A0C0E">
        <w:rPr>
          <w:lang w:val="en-US"/>
        </w:rPr>
        <w:t xml:space="preserve"> is regarded as informal microfinance, whereas </w:t>
      </w:r>
      <w:r w:rsidR="008328BF" w:rsidRPr="005A0C0E">
        <w:rPr>
          <w:lang w:val="en-US"/>
        </w:rPr>
        <w:t xml:space="preserve">formal microfinance services include </w:t>
      </w:r>
      <w:r w:rsidR="00323724" w:rsidRPr="005A0C0E">
        <w:rPr>
          <w:lang w:val="en-US"/>
        </w:rPr>
        <w:t xml:space="preserve">savings and loans </w:t>
      </w:r>
      <w:r w:rsidR="0018494B" w:rsidRPr="005A0C0E">
        <w:rPr>
          <w:lang w:val="en-US"/>
        </w:rPr>
        <w:t>from</w:t>
      </w:r>
      <w:r w:rsidR="00323724" w:rsidRPr="005A0C0E">
        <w:rPr>
          <w:lang w:val="en-US"/>
        </w:rPr>
        <w:t xml:space="preserve"> banks, </w:t>
      </w:r>
      <w:r w:rsidR="00A51B71" w:rsidRPr="005A0C0E">
        <w:rPr>
          <w:lang w:val="en-US"/>
        </w:rPr>
        <w:t>MFIs or</w:t>
      </w:r>
      <w:r w:rsidR="008328BF" w:rsidRPr="005A0C0E">
        <w:rPr>
          <w:lang w:val="en-US"/>
        </w:rPr>
        <w:t xml:space="preserve"> formally registered member-based </w:t>
      </w:r>
      <w:r w:rsidR="00476326" w:rsidRPr="005A0C0E">
        <w:rPr>
          <w:lang w:val="en-US"/>
        </w:rPr>
        <w:t>organizations</w:t>
      </w:r>
      <w:r w:rsidR="008328BF" w:rsidRPr="005A0C0E">
        <w:rPr>
          <w:lang w:val="en-US"/>
        </w:rPr>
        <w:t xml:space="preserve"> such as Savings and Credit Cooperatives (SACCOs)</w:t>
      </w:r>
      <w:r w:rsidR="005A2F48" w:rsidRPr="005A0C0E">
        <w:rPr>
          <w:lang w:val="en-US"/>
        </w:rPr>
        <w:t>. The survey data show that a total of 72% of the respondents save money regularly</w:t>
      </w:r>
      <w:r w:rsidR="00505510">
        <w:rPr>
          <w:lang w:val="en-US"/>
        </w:rPr>
        <w:t>,</w:t>
      </w:r>
      <w:r w:rsidR="000E79FD" w:rsidRPr="005A0C0E">
        <w:rPr>
          <w:lang w:val="en-US"/>
        </w:rPr>
        <w:t xml:space="preserve"> out </w:t>
      </w:r>
      <w:r w:rsidR="00476326" w:rsidRPr="005A0C0E">
        <w:rPr>
          <w:lang w:val="en-US"/>
        </w:rPr>
        <w:t>of which</w:t>
      </w:r>
      <w:r w:rsidR="00A51B71" w:rsidRPr="005A0C0E">
        <w:rPr>
          <w:lang w:val="en-US"/>
        </w:rPr>
        <w:t xml:space="preserve"> 70% save in a formal institution (</w:t>
      </w:r>
      <w:r w:rsidR="00505510">
        <w:rPr>
          <w:lang w:val="en-US"/>
        </w:rPr>
        <w:t>i.e.</w:t>
      </w:r>
      <w:r w:rsidR="00476326" w:rsidRPr="005A0C0E">
        <w:rPr>
          <w:lang w:val="en-US"/>
        </w:rPr>
        <w:t>,</w:t>
      </w:r>
      <w:r w:rsidR="005A2F48" w:rsidRPr="005A0C0E">
        <w:rPr>
          <w:lang w:val="en-US"/>
        </w:rPr>
        <w:t xml:space="preserve"> 50% </w:t>
      </w:r>
      <w:r w:rsidR="00A51B71" w:rsidRPr="005A0C0E">
        <w:rPr>
          <w:lang w:val="en-US"/>
        </w:rPr>
        <w:t>of the respondents have a formal savings account).</w:t>
      </w:r>
      <w:r w:rsidR="005A2F48" w:rsidRPr="005A0C0E">
        <w:rPr>
          <w:lang w:val="en-US"/>
        </w:rPr>
        <w:t xml:space="preserve"> </w:t>
      </w:r>
      <w:r w:rsidR="00A51B71" w:rsidRPr="005A0C0E">
        <w:rPr>
          <w:lang w:val="en-US"/>
        </w:rPr>
        <w:t>Moreover</w:t>
      </w:r>
      <w:r w:rsidR="005A2F48" w:rsidRPr="005A0C0E">
        <w:rPr>
          <w:lang w:val="en-US"/>
        </w:rPr>
        <w:t>, 39% of the respondents have borrowed money</w:t>
      </w:r>
      <w:r w:rsidR="00A51B71" w:rsidRPr="005A0C0E">
        <w:rPr>
          <w:lang w:val="en-US"/>
        </w:rPr>
        <w:t xml:space="preserve"> formally</w:t>
      </w:r>
      <w:r w:rsidR="00476326" w:rsidRPr="005A0C0E">
        <w:rPr>
          <w:lang w:val="en-US"/>
        </w:rPr>
        <w:t>;</w:t>
      </w:r>
      <w:r w:rsidR="005A2F48" w:rsidRPr="005A0C0E">
        <w:rPr>
          <w:lang w:val="en-US"/>
        </w:rPr>
        <w:t xml:space="preserve"> </w:t>
      </w:r>
      <w:r w:rsidR="00476326" w:rsidRPr="005A0C0E">
        <w:rPr>
          <w:lang w:val="en-US"/>
        </w:rPr>
        <w:t>however,</w:t>
      </w:r>
      <w:r w:rsidR="005A2F48" w:rsidRPr="005A0C0E">
        <w:rPr>
          <w:lang w:val="en-US"/>
        </w:rPr>
        <w:t xml:space="preserve"> only 15% </w:t>
      </w:r>
      <w:r w:rsidR="00476326" w:rsidRPr="005A0C0E">
        <w:rPr>
          <w:lang w:val="en-US"/>
        </w:rPr>
        <w:t xml:space="preserve">of the respondents </w:t>
      </w:r>
      <w:r w:rsidR="005A2F48" w:rsidRPr="005A0C0E">
        <w:rPr>
          <w:lang w:val="en-US"/>
        </w:rPr>
        <w:t>had a loan at the time the survey was conducted (Beisland and Mersland, 2012</w:t>
      </w:r>
      <w:r w:rsidR="003773B7" w:rsidRPr="005A0C0E">
        <w:rPr>
          <w:lang w:val="en-US"/>
        </w:rPr>
        <w:t>d</w:t>
      </w:r>
      <w:r w:rsidR="005A2F48" w:rsidRPr="005A0C0E">
        <w:rPr>
          <w:lang w:val="en-US"/>
        </w:rPr>
        <w:t xml:space="preserve">). </w:t>
      </w:r>
      <w:r w:rsidR="00AC4134" w:rsidRPr="005A0C0E">
        <w:rPr>
          <w:lang w:val="en-US"/>
        </w:rPr>
        <w:t>Thus, w</w:t>
      </w:r>
      <w:r w:rsidR="005A2F48" w:rsidRPr="005A0C0E">
        <w:rPr>
          <w:lang w:val="en-US"/>
        </w:rPr>
        <w:t xml:space="preserve">e </w:t>
      </w:r>
      <w:r w:rsidR="00505510">
        <w:rPr>
          <w:lang w:val="en-US"/>
        </w:rPr>
        <w:t>observe</w:t>
      </w:r>
      <w:r w:rsidR="00505510" w:rsidRPr="005A0C0E">
        <w:rPr>
          <w:lang w:val="en-US"/>
        </w:rPr>
        <w:t xml:space="preserve"> </w:t>
      </w:r>
      <w:r w:rsidR="005A2F48" w:rsidRPr="005A0C0E">
        <w:rPr>
          <w:lang w:val="en-US"/>
        </w:rPr>
        <w:t>that the majority of those accessing credit have not been able to maintain the borrower-bank relationship</w:t>
      </w:r>
      <w:r w:rsidR="00AC4134" w:rsidRPr="005A0C0E">
        <w:rPr>
          <w:lang w:val="en-US"/>
        </w:rPr>
        <w:t xml:space="preserve"> over time</w:t>
      </w:r>
      <w:r w:rsidR="005A2F48" w:rsidRPr="005A0C0E">
        <w:rPr>
          <w:lang w:val="en-US"/>
        </w:rPr>
        <w:t>.</w:t>
      </w:r>
    </w:p>
    <w:p w:rsidR="00B8611E" w:rsidRPr="005A0C0E" w:rsidRDefault="00D044E1" w:rsidP="001D2446">
      <w:pPr>
        <w:spacing w:line="480" w:lineRule="auto"/>
        <w:rPr>
          <w:b/>
          <w:lang w:val="en-US"/>
        </w:rPr>
      </w:pPr>
      <w:r w:rsidRPr="005A0C0E">
        <w:rPr>
          <w:b/>
          <w:lang w:val="en-US"/>
        </w:rPr>
        <w:tab/>
      </w:r>
      <w:r w:rsidRPr="005A0C0E">
        <w:rPr>
          <w:b/>
          <w:lang w:val="en-US"/>
        </w:rPr>
        <w:tab/>
      </w:r>
      <w:r w:rsidRPr="005A0C0E">
        <w:rPr>
          <w:b/>
          <w:lang w:val="en-US"/>
        </w:rPr>
        <w:tab/>
        <w:t>Figure 1</w:t>
      </w:r>
    </w:p>
    <w:p w:rsidR="00CE4F67" w:rsidRPr="005A0C0E" w:rsidRDefault="00B8611E" w:rsidP="001D2446">
      <w:pPr>
        <w:spacing w:line="480" w:lineRule="auto"/>
        <w:rPr>
          <w:lang w:val="en-US"/>
        </w:rPr>
      </w:pPr>
      <w:r w:rsidRPr="005A0C0E">
        <w:rPr>
          <w:lang w:val="en-US"/>
        </w:rPr>
        <w:t>Figure 1 relates the use of microfinance services to</w:t>
      </w:r>
      <w:r w:rsidR="00476326" w:rsidRPr="005A0C0E">
        <w:rPr>
          <w:lang w:val="en-US"/>
        </w:rPr>
        <w:t xml:space="preserve"> types of</w:t>
      </w:r>
      <w:r w:rsidRPr="005A0C0E">
        <w:rPr>
          <w:lang w:val="en-US"/>
        </w:rPr>
        <w:t xml:space="preserve"> disability. The figure illustrates that persons with </w:t>
      </w:r>
      <w:r w:rsidR="00E94C09" w:rsidRPr="005A0C0E">
        <w:rPr>
          <w:lang w:val="en-US"/>
        </w:rPr>
        <w:t>vision</w:t>
      </w:r>
      <w:r w:rsidRPr="005A0C0E">
        <w:rPr>
          <w:lang w:val="en-US"/>
        </w:rPr>
        <w:t xml:space="preserve"> and hearing impairments ha</w:t>
      </w:r>
      <w:r w:rsidR="00CE4F67" w:rsidRPr="005A0C0E">
        <w:rPr>
          <w:lang w:val="en-US"/>
        </w:rPr>
        <w:t>ve</w:t>
      </w:r>
      <w:r w:rsidRPr="005A0C0E">
        <w:rPr>
          <w:lang w:val="en-US"/>
        </w:rPr>
        <w:t xml:space="preserve"> lower access to microfinance services tha</w:t>
      </w:r>
      <w:r w:rsidR="00CE4F67" w:rsidRPr="005A0C0E">
        <w:rPr>
          <w:lang w:val="en-US"/>
        </w:rPr>
        <w:t>n</w:t>
      </w:r>
      <w:r w:rsidRPr="005A0C0E">
        <w:rPr>
          <w:lang w:val="en-US"/>
        </w:rPr>
        <w:t xml:space="preserve"> </w:t>
      </w:r>
      <w:r w:rsidR="00B379D9" w:rsidRPr="005A0C0E">
        <w:rPr>
          <w:lang w:val="en-US"/>
        </w:rPr>
        <w:t xml:space="preserve">persons </w:t>
      </w:r>
      <w:r w:rsidRPr="005A0C0E">
        <w:rPr>
          <w:lang w:val="en-US"/>
        </w:rPr>
        <w:t xml:space="preserve">with other physical </w:t>
      </w:r>
      <w:r w:rsidR="00CE4F67" w:rsidRPr="005A0C0E">
        <w:rPr>
          <w:lang w:val="en-US"/>
        </w:rPr>
        <w:t>impairments</w:t>
      </w:r>
      <w:r w:rsidRPr="005A0C0E">
        <w:rPr>
          <w:lang w:val="en-US"/>
        </w:rPr>
        <w:t>. Beisland and Mersland (2012</w:t>
      </w:r>
      <w:r w:rsidR="002571D7" w:rsidRPr="005A0C0E">
        <w:rPr>
          <w:lang w:val="en-US"/>
        </w:rPr>
        <w:t>d</w:t>
      </w:r>
      <w:r w:rsidRPr="005A0C0E">
        <w:rPr>
          <w:lang w:val="en-US"/>
        </w:rPr>
        <w:t xml:space="preserve">) also </w:t>
      </w:r>
      <w:r w:rsidR="00E94C09" w:rsidRPr="005A0C0E">
        <w:rPr>
          <w:lang w:val="en-US"/>
        </w:rPr>
        <w:t xml:space="preserve">indicate </w:t>
      </w:r>
      <w:r w:rsidRPr="005A0C0E">
        <w:rPr>
          <w:lang w:val="en-US"/>
        </w:rPr>
        <w:t xml:space="preserve">that females in general have better access than men and </w:t>
      </w:r>
      <w:r w:rsidR="00B06677" w:rsidRPr="005A0C0E">
        <w:rPr>
          <w:lang w:val="en-US"/>
        </w:rPr>
        <w:t xml:space="preserve">that </w:t>
      </w:r>
      <w:r w:rsidR="00505510">
        <w:rPr>
          <w:lang w:val="en-US"/>
        </w:rPr>
        <w:t>those who are</w:t>
      </w:r>
      <w:r w:rsidR="00E94C09" w:rsidRPr="005A0C0E">
        <w:rPr>
          <w:lang w:val="en-US"/>
        </w:rPr>
        <w:t xml:space="preserve"> </w:t>
      </w:r>
      <w:r w:rsidRPr="005A0C0E">
        <w:rPr>
          <w:lang w:val="en-US"/>
        </w:rPr>
        <w:t>married</w:t>
      </w:r>
      <w:r w:rsidR="00E94C09" w:rsidRPr="005A0C0E">
        <w:rPr>
          <w:lang w:val="en-US"/>
        </w:rPr>
        <w:t xml:space="preserve"> have</w:t>
      </w:r>
      <w:r w:rsidRPr="005A0C0E">
        <w:rPr>
          <w:lang w:val="en-US"/>
        </w:rPr>
        <w:t xml:space="preserve"> better access than </w:t>
      </w:r>
      <w:r w:rsidR="00505510">
        <w:rPr>
          <w:lang w:val="en-US"/>
        </w:rPr>
        <w:t>those who are not</w:t>
      </w:r>
      <w:r w:rsidRPr="005A0C0E">
        <w:rPr>
          <w:lang w:val="en-US"/>
        </w:rPr>
        <w:t>. Moreover, the study strongly suggests that the use of microfinance services increas</w:t>
      </w:r>
      <w:r w:rsidR="00505510">
        <w:rPr>
          <w:lang w:val="en-US"/>
        </w:rPr>
        <w:t>es with</w:t>
      </w:r>
      <w:r w:rsidRPr="005A0C0E">
        <w:rPr>
          <w:lang w:val="en-US"/>
        </w:rPr>
        <w:t xml:space="preserve"> education level. </w:t>
      </w:r>
    </w:p>
    <w:p w:rsidR="00D45A7E" w:rsidRPr="005A0C0E" w:rsidRDefault="00D044E1" w:rsidP="001D2446">
      <w:pPr>
        <w:spacing w:line="480" w:lineRule="auto"/>
        <w:rPr>
          <w:lang w:val="en-US"/>
        </w:rPr>
      </w:pPr>
      <w:r w:rsidRPr="005A0C0E">
        <w:rPr>
          <w:lang w:val="en-US"/>
        </w:rPr>
        <w:lastRenderedPageBreak/>
        <w:t>Using the NUDIPU survey, the use of microfinance services may also be related to income source and income level (Beisland and Mersland, 2012</w:t>
      </w:r>
      <w:r w:rsidR="002571D7" w:rsidRPr="005A0C0E">
        <w:rPr>
          <w:lang w:val="en-US"/>
        </w:rPr>
        <w:t>c</w:t>
      </w:r>
      <w:r w:rsidRPr="005A0C0E">
        <w:rPr>
          <w:lang w:val="en-US"/>
        </w:rPr>
        <w:t>). There is a positive association between the respondents’ estimates of monthly income and their use of microfinance services. This pattern is particularly strong for the use of formal services. For example, whereas only 33% of the respondents with monthly incomes less than 100,000 Ugandan shilling (</w:t>
      </w:r>
      <w:r w:rsidR="00FD7705" w:rsidRPr="005A0C0E">
        <w:rPr>
          <w:lang w:val="en-US"/>
        </w:rPr>
        <w:t>a</w:t>
      </w:r>
      <w:r w:rsidR="006D0F79" w:rsidRPr="005A0C0E">
        <w:rPr>
          <w:lang w:val="en-US"/>
        </w:rPr>
        <w:t>pproximately</w:t>
      </w:r>
      <w:r w:rsidR="00FD7705" w:rsidRPr="005A0C0E">
        <w:rPr>
          <w:lang w:val="en-US"/>
        </w:rPr>
        <w:t xml:space="preserve"> US$ 50)</w:t>
      </w:r>
      <w:r w:rsidRPr="005A0C0E">
        <w:rPr>
          <w:lang w:val="en-US"/>
        </w:rPr>
        <w:t xml:space="preserve"> </w:t>
      </w:r>
      <w:r w:rsidR="00505510" w:rsidRPr="005A0C0E">
        <w:rPr>
          <w:lang w:val="en-US"/>
        </w:rPr>
        <w:t>stat</w:t>
      </w:r>
      <w:r w:rsidR="00505510">
        <w:rPr>
          <w:lang w:val="en-US"/>
        </w:rPr>
        <w:t>ed</w:t>
      </w:r>
      <w:r w:rsidR="00505510" w:rsidRPr="005A0C0E">
        <w:rPr>
          <w:lang w:val="en-US"/>
        </w:rPr>
        <w:t xml:space="preserve"> </w:t>
      </w:r>
      <w:r w:rsidRPr="005A0C0E">
        <w:rPr>
          <w:lang w:val="en-US"/>
        </w:rPr>
        <w:t xml:space="preserve">that they have </w:t>
      </w:r>
      <w:r w:rsidR="00505510">
        <w:rPr>
          <w:lang w:val="en-US"/>
        </w:rPr>
        <w:t>obtained</w:t>
      </w:r>
      <w:r w:rsidR="00505510" w:rsidRPr="005A0C0E">
        <w:rPr>
          <w:lang w:val="en-US"/>
        </w:rPr>
        <w:t xml:space="preserve"> </w:t>
      </w:r>
      <w:r w:rsidRPr="005A0C0E">
        <w:rPr>
          <w:lang w:val="en-US"/>
        </w:rPr>
        <w:t>a formal loan, the proporti</w:t>
      </w:r>
      <w:r w:rsidR="00D266B3">
        <w:rPr>
          <w:lang w:val="en-US"/>
        </w:rPr>
        <w:t>on increases to 59% for monthly</w:t>
      </w:r>
      <w:r w:rsidRPr="005A0C0E">
        <w:rPr>
          <w:lang w:val="en-US"/>
        </w:rPr>
        <w:t xml:space="preserve"> income levels in between 400,000 and 700,000 </w:t>
      </w:r>
      <w:r w:rsidR="00FD7705" w:rsidRPr="005A0C0E">
        <w:rPr>
          <w:lang w:val="en-US"/>
        </w:rPr>
        <w:t>Ugandan shillings</w:t>
      </w:r>
      <w:r w:rsidRPr="005A0C0E">
        <w:rPr>
          <w:lang w:val="en-US"/>
        </w:rPr>
        <w:t xml:space="preserve">. </w:t>
      </w:r>
      <w:r w:rsidR="00505510" w:rsidRPr="005A0C0E">
        <w:rPr>
          <w:lang w:val="en-US"/>
        </w:rPr>
        <w:t>Th</w:t>
      </w:r>
      <w:r w:rsidR="00505510">
        <w:rPr>
          <w:lang w:val="en-US"/>
        </w:rPr>
        <w:t>is</w:t>
      </w:r>
      <w:r w:rsidR="00505510" w:rsidRPr="005A0C0E">
        <w:rPr>
          <w:lang w:val="en-US"/>
        </w:rPr>
        <w:t xml:space="preserve"> </w:t>
      </w:r>
      <w:r w:rsidR="00457F0A" w:rsidRPr="005A0C0E">
        <w:rPr>
          <w:lang w:val="en-US"/>
        </w:rPr>
        <w:t xml:space="preserve">relation between the use of microfinance and wealth is </w:t>
      </w:r>
      <w:r w:rsidR="00505510">
        <w:rPr>
          <w:lang w:val="en-US"/>
        </w:rPr>
        <w:t xml:space="preserve">further </w:t>
      </w:r>
      <w:r w:rsidR="00457F0A" w:rsidRPr="005A0C0E">
        <w:rPr>
          <w:lang w:val="en-US"/>
        </w:rPr>
        <w:t xml:space="preserve">confirmed when the respondents’ estimated business value replaces monthly income as </w:t>
      </w:r>
      <w:r w:rsidR="00DA5F51" w:rsidRPr="005A0C0E">
        <w:rPr>
          <w:lang w:val="en-US"/>
        </w:rPr>
        <w:t>the variable representing wealth</w:t>
      </w:r>
      <w:r w:rsidR="00457F0A" w:rsidRPr="005A0C0E">
        <w:rPr>
          <w:lang w:val="en-US"/>
        </w:rPr>
        <w:t xml:space="preserve">. </w:t>
      </w:r>
    </w:p>
    <w:p w:rsidR="00D45A7E" w:rsidRPr="005A0C0E" w:rsidRDefault="00D45A7E" w:rsidP="001D2446">
      <w:pPr>
        <w:spacing w:line="480" w:lineRule="auto"/>
        <w:rPr>
          <w:lang w:val="en-US"/>
        </w:rPr>
      </w:pPr>
      <w:r w:rsidRPr="005A0C0E">
        <w:rPr>
          <w:lang w:val="en-US"/>
        </w:rPr>
        <w:t>The NUDIPU survey also provides information on the relation between microfinance and primary source of income (Beisland and Mersland, 2012</w:t>
      </w:r>
      <w:r w:rsidR="002571D7" w:rsidRPr="005A0C0E">
        <w:rPr>
          <w:lang w:val="en-US"/>
        </w:rPr>
        <w:t>c</w:t>
      </w:r>
      <w:r w:rsidRPr="005A0C0E">
        <w:rPr>
          <w:lang w:val="en-US"/>
        </w:rPr>
        <w:t xml:space="preserve">). Those </w:t>
      </w:r>
      <w:r w:rsidR="007F1986" w:rsidRPr="005A0C0E">
        <w:rPr>
          <w:lang w:val="en-US"/>
        </w:rPr>
        <w:t xml:space="preserve">persons </w:t>
      </w:r>
      <w:r w:rsidRPr="005A0C0E">
        <w:rPr>
          <w:lang w:val="en-US"/>
        </w:rPr>
        <w:t xml:space="preserve">whose primary source of income is farming or manufacturing generally use </w:t>
      </w:r>
      <w:r w:rsidR="00505510">
        <w:rPr>
          <w:lang w:val="en-US"/>
        </w:rPr>
        <w:t>fewer</w:t>
      </w:r>
      <w:r w:rsidR="00505510" w:rsidRPr="005A0C0E">
        <w:rPr>
          <w:lang w:val="en-US"/>
        </w:rPr>
        <w:t xml:space="preserve"> </w:t>
      </w:r>
      <w:r w:rsidRPr="005A0C0E">
        <w:rPr>
          <w:lang w:val="en-US"/>
        </w:rPr>
        <w:t xml:space="preserve">microfinance services than those whose primary income source is from wholesale/retail or the service sector. This result is strongest for formal microfinance services. </w:t>
      </w:r>
      <w:r w:rsidR="007F1BE6" w:rsidRPr="005A0C0E">
        <w:rPr>
          <w:lang w:val="en-US"/>
        </w:rPr>
        <w:t>The survey also indicates, n</w:t>
      </w:r>
      <w:r w:rsidR="00A06190" w:rsidRPr="005A0C0E">
        <w:rPr>
          <w:lang w:val="en-US"/>
        </w:rPr>
        <w:t>ot surprisingly, t</w:t>
      </w:r>
      <w:r w:rsidR="007F1BE6" w:rsidRPr="005A0C0E">
        <w:rPr>
          <w:lang w:val="en-US"/>
        </w:rPr>
        <w:t xml:space="preserve">hat </w:t>
      </w:r>
      <w:r w:rsidR="007F1986" w:rsidRPr="005A0C0E">
        <w:rPr>
          <w:lang w:val="en-US"/>
        </w:rPr>
        <w:t>persons</w:t>
      </w:r>
      <w:r w:rsidR="00A06190" w:rsidRPr="005A0C0E">
        <w:rPr>
          <w:lang w:val="en-US"/>
        </w:rPr>
        <w:t xml:space="preserve"> with farming as their primary source of income report the lowest income levels, while </w:t>
      </w:r>
      <w:r w:rsidR="007F1986" w:rsidRPr="005A0C0E">
        <w:rPr>
          <w:lang w:val="en-US"/>
        </w:rPr>
        <w:t xml:space="preserve">persons </w:t>
      </w:r>
      <w:r w:rsidR="00A06190" w:rsidRPr="005A0C0E">
        <w:rPr>
          <w:lang w:val="en-US"/>
        </w:rPr>
        <w:t>involved in wholesale or retail tr</w:t>
      </w:r>
      <w:r w:rsidR="00457F0A" w:rsidRPr="005A0C0E">
        <w:rPr>
          <w:lang w:val="en-US"/>
        </w:rPr>
        <w:t>ading report the highest income</w:t>
      </w:r>
      <w:r w:rsidR="007F1BE6" w:rsidRPr="005A0C0E">
        <w:rPr>
          <w:lang w:val="en-US"/>
        </w:rPr>
        <w:t xml:space="preserve"> levels</w:t>
      </w:r>
      <w:r w:rsidR="00457F0A" w:rsidRPr="005A0C0E">
        <w:rPr>
          <w:lang w:val="en-US"/>
        </w:rPr>
        <w:t xml:space="preserve">. </w:t>
      </w:r>
      <w:r w:rsidR="007F1BE6" w:rsidRPr="005A0C0E">
        <w:rPr>
          <w:lang w:val="en-US"/>
        </w:rPr>
        <w:t xml:space="preserve">Thus, </w:t>
      </w:r>
      <w:r w:rsidR="006714AB" w:rsidRPr="005A0C0E">
        <w:rPr>
          <w:lang w:val="en-US"/>
        </w:rPr>
        <w:t xml:space="preserve">a major </w:t>
      </w:r>
      <w:r w:rsidR="007F1BE6" w:rsidRPr="005A0C0E">
        <w:rPr>
          <w:lang w:val="en-US"/>
        </w:rPr>
        <w:t xml:space="preserve">reason why most </w:t>
      </w:r>
      <w:r w:rsidR="00B379D9" w:rsidRPr="005A0C0E">
        <w:rPr>
          <w:lang w:val="en-US"/>
        </w:rPr>
        <w:t>persons with disabilities</w:t>
      </w:r>
      <w:r w:rsidR="007F1BE6" w:rsidRPr="005A0C0E">
        <w:rPr>
          <w:lang w:val="en-US"/>
        </w:rPr>
        <w:t xml:space="preserve"> in Uganda are poor is because more than 50% of them have farming as their primary source of income. O</w:t>
      </w:r>
      <w:r w:rsidR="00457F0A" w:rsidRPr="005A0C0E">
        <w:rPr>
          <w:lang w:val="en-US"/>
        </w:rPr>
        <w:t xml:space="preserve">nly 23% of the respondents have their primary incomes from wholesale or retail trading. </w:t>
      </w:r>
      <w:r w:rsidR="007F1BE6" w:rsidRPr="005A0C0E">
        <w:rPr>
          <w:lang w:val="en-US"/>
        </w:rPr>
        <w:t xml:space="preserve">The dependency on farming is therefore a major constraint </w:t>
      </w:r>
      <w:r w:rsidR="005A0C0E" w:rsidRPr="00B624A8">
        <w:rPr>
          <w:lang w:val="en-US"/>
        </w:rPr>
        <w:t>in regard to</w:t>
      </w:r>
      <w:r w:rsidR="007F1BE6" w:rsidRPr="005A0C0E">
        <w:rPr>
          <w:lang w:val="en-US"/>
        </w:rPr>
        <w:t xml:space="preserve"> </w:t>
      </w:r>
      <w:r w:rsidR="006714AB" w:rsidRPr="005A0C0E">
        <w:rPr>
          <w:lang w:val="en-US"/>
        </w:rPr>
        <w:t xml:space="preserve">improving </w:t>
      </w:r>
      <w:r w:rsidR="007F1BE6" w:rsidRPr="005A0C0E">
        <w:rPr>
          <w:lang w:val="en-US"/>
        </w:rPr>
        <w:t>the outcome of</w:t>
      </w:r>
      <w:r w:rsidR="00105D2A" w:rsidRPr="005A0C0E">
        <w:rPr>
          <w:lang w:val="en-US"/>
        </w:rPr>
        <w:t xml:space="preserve"> business activities of</w:t>
      </w:r>
      <w:r w:rsidR="007F1BE6" w:rsidRPr="005A0C0E">
        <w:rPr>
          <w:lang w:val="en-US"/>
        </w:rPr>
        <w:t xml:space="preserve"> </w:t>
      </w:r>
      <w:r w:rsidR="00B379D9" w:rsidRPr="005A0C0E">
        <w:rPr>
          <w:lang w:val="en-US"/>
        </w:rPr>
        <w:t>persons with disabilities</w:t>
      </w:r>
      <w:r w:rsidR="007F1BE6" w:rsidRPr="005A0C0E">
        <w:rPr>
          <w:lang w:val="en-US"/>
        </w:rPr>
        <w:t>.</w:t>
      </w:r>
    </w:p>
    <w:p w:rsidR="00922272" w:rsidRPr="005A0C0E" w:rsidRDefault="00922272" w:rsidP="001D2446">
      <w:pPr>
        <w:spacing w:line="480" w:lineRule="auto"/>
        <w:rPr>
          <w:lang w:val="en-US"/>
        </w:rPr>
      </w:pPr>
    </w:p>
    <w:p w:rsidR="00EB01A0" w:rsidRPr="005A0C0E" w:rsidRDefault="00EB01A0" w:rsidP="001D2446">
      <w:pPr>
        <w:spacing w:line="480" w:lineRule="auto"/>
        <w:rPr>
          <w:b/>
          <w:lang w:val="en-US"/>
        </w:rPr>
      </w:pPr>
      <w:r w:rsidRPr="005A0C0E">
        <w:rPr>
          <w:b/>
          <w:lang w:val="en-US"/>
        </w:rPr>
        <w:t>3.</w:t>
      </w:r>
      <w:r w:rsidR="007F1BE6" w:rsidRPr="005A0C0E">
        <w:rPr>
          <w:b/>
          <w:lang w:val="en-US"/>
        </w:rPr>
        <w:t>2</w:t>
      </w:r>
      <w:r w:rsidRPr="005A0C0E">
        <w:rPr>
          <w:b/>
          <w:lang w:val="en-US"/>
        </w:rPr>
        <w:t>. Barriers to microfinance</w:t>
      </w:r>
    </w:p>
    <w:p w:rsidR="00F113A9" w:rsidRPr="005A0C0E" w:rsidRDefault="00EB01A0" w:rsidP="001D2446">
      <w:pPr>
        <w:spacing w:line="480" w:lineRule="auto"/>
        <w:rPr>
          <w:lang w:val="en-US"/>
        </w:rPr>
      </w:pPr>
      <w:r w:rsidRPr="005A0C0E">
        <w:rPr>
          <w:lang w:val="en-US"/>
        </w:rPr>
        <w:lastRenderedPageBreak/>
        <w:t xml:space="preserve">The NUDIPU survey includes questions that can be related to the barriers to microfinance presented in Section 2. </w:t>
      </w:r>
      <w:r w:rsidR="000C6162" w:rsidRPr="005A0C0E">
        <w:rPr>
          <w:lang w:val="en-US"/>
        </w:rPr>
        <w:t xml:space="preserve">The main advantage </w:t>
      </w:r>
      <w:r w:rsidR="00DA5F51" w:rsidRPr="005A0C0E">
        <w:rPr>
          <w:lang w:val="en-US"/>
        </w:rPr>
        <w:t xml:space="preserve">of </w:t>
      </w:r>
      <w:r w:rsidR="000C6162" w:rsidRPr="005A0C0E">
        <w:rPr>
          <w:lang w:val="en-US"/>
        </w:rPr>
        <w:t xml:space="preserve">applying the NUDIPU survey to study barriers is that the study provides the </w:t>
      </w:r>
      <w:r w:rsidR="00B379D9" w:rsidRPr="005A0C0E">
        <w:rPr>
          <w:lang w:val="en-US"/>
        </w:rPr>
        <w:t>persons with disabilities</w:t>
      </w:r>
      <w:r w:rsidR="000C6162" w:rsidRPr="005A0C0E">
        <w:rPr>
          <w:lang w:val="en-US"/>
        </w:rPr>
        <w:t xml:space="preserve">’ </w:t>
      </w:r>
      <w:r w:rsidR="000C6162" w:rsidRPr="005A0C0E">
        <w:rPr>
          <w:i/>
          <w:lang w:val="en-US"/>
        </w:rPr>
        <w:t>own view</w:t>
      </w:r>
      <w:r w:rsidR="000C6162" w:rsidRPr="005A0C0E">
        <w:rPr>
          <w:lang w:val="en-US"/>
        </w:rPr>
        <w:t xml:space="preserve"> on </w:t>
      </w:r>
      <w:r w:rsidR="00F22F18" w:rsidRPr="005A0C0E">
        <w:rPr>
          <w:lang w:val="en-US"/>
        </w:rPr>
        <w:t>the importance of the barriers.</w:t>
      </w:r>
      <w:r w:rsidR="00F113A9" w:rsidRPr="005A0C0E">
        <w:rPr>
          <w:lang w:val="en-US"/>
        </w:rPr>
        <w:t xml:space="preserve"> </w:t>
      </w:r>
      <w:r w:rsidR="008972D4" w:rsidRPr="005A0C0E">
        <w:rPr>
          <w:lang w:val="en-US"/>
        </w:rPr>
        <w:t>Much of the p</w:t>
      </w:r>
      <w:r w:rsidR="00F113A9" w:rsidRPr="005A0C0E">
        <w:rPr>
          <w:lang w:val="en-US"/>
        </w:rPr>
        <w:t xml:space="preserve">revious research on the barriers to microfinance has not included empirical evidence from the clients themselves. </w:t>
      </w:r>
      <w:r w:rsidR="00F22F18" w:rsidRPr="005A0C0E">
        <w:rPr>
          <w:lang w:val="en-US"/>
        </w:rPr>
        <w:t>Note that this part of the NUDIPU study has a microcredit focus</w:t>
      </w:r>
      <w:r w:rsidR="00FC641D" w:rsidRPr="005A0C0E">
        <w:rPr>
          <w:lang w:val="en-US"/>
        </w:rPr>
        <w:t xml:space="preserve"> because</w:t>
      </w:r>
      <w:r w:rsidR="00F22F18" w:rsidRPr="005A0C0E">
        <w:rPr>
          <w:lang w:val="en-US"/>
        </w:rPr>
        <w:t xml:space="preserve"> the questions focus on borrowing</w:t>
      </w:r>
      <w:r w:rsidR="00D838C2">
        <w:rPr>
          <w:lang w:val="en-US"/>
        </w:rPr>
        <w:t>,</w:t>
      </w:r>
      <w:r w:rsidR="00F22F18" w:rsidRPr="005A0C0E">
        <w:rPr>
          <w:lang w:val="en-US"/>
        </w:rPr>
        <w:t xml:space="preserve"> not saving. </w:t>
      </w:r>
    </w:p>
    <w:p w:rsidR="00F113A9" w:rsidRPr="005A0C0E" w:rsidRDefault="006E4853" w:rsidP="001D2446">
      <w:pPr>
        <w:spacing w:line="480" w:lineRule="auto"/>
        <w:rPr>
          <w:lang w:val="en-US"/>
        </w:rPr>
      </w:pPr>
      <w:r w:rsidRPr="005A0C0E">
        <w:rPr>
          <w:lang w:val="en-US"/>
        </w:rPr>
        <w:t>B</w:t>
      </w:r>
      <w:r w:rsidR="00F113A9" w:rsidRPr="005A0C0E">
        <w:rPr>
          <w:lang w:val="en-US"/>
        </w:rPr>
        <w:t>ased on the NUDIPU survey, Beisland and Mersland (2012</w:t>
      </w:r>
      <w:r w:rsidR="00ED0E40" w:rsidRPr="005A0C0E">
        <w:rPr>
          <w:lang w:val="en-US"/>
        </w:rPr>
        <w:t>a</w:t>
      </w:r>
      <w:r w:rsidR="00F113A9" w:rsidRPr="005A0C0E">
        <w:rPr>
          <w:lang w:val="en-US"/>
        </w:rPr>
        <w:t xml:space="preserve">) show that there is some fear among the respondents that they would be rejected by the staff of the institutions because of their disability. Specifically, 22% of the respondents express such a fear. However, more respondents (30%) fear that existing (non-disabled) credit group members would not accept them </w:t>
      </w:r>
      <w:r w:rsidR="003A0087" w:rsidRPr="005A0C0E">
        <w:rPr>
          <w:lang w:val="en-US"/>
        </w:rPr>
        <w:t xml:space="preserve">as members because of their disability. Another important barrier is the disability itself; 28% of the respondents state that their disability would make it difficult to access the banks’ premises or to attend regular meetings. </w:t>
      </w:r>
      <w:r w:rsidR="0081331F" w:rsidRPr="005A0C0E">
        <w:rPr>
          <w:lang w:val="en-US"/>
        </w:rPr>
        <w:t>In contrast</w:t>
      </w:r>
      <w:r w:rsidR="003A0087" w:rsidRPr="005A0C0E">
        <w:rPr>
          <w:lang w:val="en-US"/>
        </w:rPr>
        <w:t xml:space="preserve">, self-exclusion appears to be less relevant than expected; only 12% of the respondents would feel shy or embarrassed if trying to apply for a loan. </w:t>
      </w:r>
    </w:p>
    <w:p w:rsidR="003A0087" w:rsidRPr="005A0C0E" w:rsidRDefault="00D833E9" w:rsidP="001D2446">
      <w:pPr>
        <w:spacing w:line="480" w:lineRule="auto"/>
        <w:rPr>
          <w:b/>
          <w:lang w:val="en-US"/>
        </w:rPr>
      </w:pPr>
      <w:r w:rsidRPr="005A0C0E">
        <w:rPr>
          <w:b/>
          <w:lang w:val="en-US"/>
        </w:rPr>
        <w:tab/>
      </w:r>
      <w:r w:rsidRPr="005A0C0E">
        <w:rPr>
          <w:b/>
          <w:lang w:val="en-US"/>
        </w:rPr>
        <w:tab/>
      </w:r>
      <w:r w:rsidRPr="005A0C0E">
        <w:rPr>
          <w:b/>
          <w:lang w:val="en-US"/>
        </w:rPr>
        <w:tab/>
        <w:t>Figure 2</w:t>
      </w:r>
    </w:p>
    <w:p w:rsidR="00F224B0" w:rsidRPr="005A0C0E" w:rsidRDefault="006E4853" w:rsidP="001D2446">
      <w:pPr>
        <w:spacing w:line="480" w:lineRule="auto"/>
        <w:rPr>
          <w:lang w:val="en-US"/>
        </w:rPr>
      </w:pPr>
      <w:r w:rsidRPr="005A0C0E">
        <w:rPr>
          <w:lang w:val="en-US"/>
        </w:rPr>
        <w:t>E</w:t>
      </w:r>
      <w:r w:rsidR="003A0087" w:rsidRPr="005A0C0E">
        <w:rPr>
          <w:lang w:val="en-US"/>
        </w:rPr>
        <w:t xml:space="preserve">xclusion by credit design </w:t>
      </w:r>
      <w:r w:rsidR="00D838C2" w:rsidRPr="00D838C2">
        <w:rPr>
          <w:lang w:val="en-US"/>
        </w:rPr>
        <w:t xml:space="preserve">emerged </w:t>
      </w:r>
      <w:r w:rsidR="003A0087" w:rsidRPr="005A0C0E">
        <w:rPr>
          <w:lang w:val="en-US"/>
        </w:rPr>
        <w:t xml:space="preserve">as the most important barrier in the study. </w:t>
      </w:r>
      <w:r w:rsidR="00F22F18" w:rsidRPr="005A0C0E">
        <w:rPr>
          <w:lang w:val="en-US"/>
        </w:rPr>
        <w:t xml:space="preserve"> </w:t>
      </w:r>
      <w:r w:rsidR="0081331F" w:rsidRPr="005A0C0E">
        <w:rPr>
          <w:lang w:val="en-US"/>
        </w:rPr>
        <w:t xml:space="preserve">Forty-six percent </w:t>
      </w:r>
      <w:r w:rsidR="00F22F18" w:rsidRPr="005A0C0E">
        <w:rPr>
          <w:lang w:val="en-US"/>
        </w:rPr>
        <w:t xml:space="preserve">of the respondents of the study fear that the loan conditions may not suit their needs. </w:t>
      </w:r>
      <w:r w:rsidR="006440A0" w:rsidRPr="005A0C0E">
        <w:rPr>
          <w:lang w:val="en-US"/>
        </w:rPr>
        <w:t xml:space="preserve">However, </w:t>
      </w:r>
      <w:r w:rsidRPr="005A0C0E">
        <w:rPr>
          <w:lang w:val="en-US"/>
        </w:rPr>
        <w:t xml:space="preserve">a weakness in the survey </w:t>
      </w:r>
      <w:r w:rsidR="006440A0" w:rsidRPr="005A0C0E">
        <w:rPr>
          <w:lang w:val="en-US"/>
        </w:rPr>
        <w:t xml:space="preserve">is </w:t>
      </w:r>
      <w:r w:rsidRPr="005A0C0E">
        <w:rPr>
          <w:lang w:val="en-US"/>
        </w:rPr>
        <w:t>that the</w:t>
      </w:r>
      <w:r w:rsidR="00F22F18" w:rsidRPr="005A0C0E">
        <w:rPr>
          <w:lang w:val="en-US"/>
        </w:rPr>
        <w:t xml:space="preserve"> interest rate </w:t>
      </w:r>
      <w:r w:rsidR="006440A0" w:rsidRPr="005A0C0E">
        <w:rPr>
          <w:lang w:val="en-US"/>
        </w:rPr>
        <w:t xml:space="preserve">level </w:t>
      </w:r>
      <w:r w:rsidR="00F22F18" w:rsidRPr="005A0C0E">
        <w:rPr>
          <w:lang w:val="en-US"/>
        </w:rPr>
        <w:t>is</w:t>
      </w:r>
      <w:r w:rsidRPr="005A0C0E">
        <w:rPr>
          <w:lang w:val="en-US"/>
        </w:rPr>
        <w:t xml:space="preserve"> </w:t>
      </w:r>
      <w:r w:rsidR="00F22F18" w:rsidRPr="005A0C0E">
        <w:rPr>
          <w:lang w:val="en-US"/>
        </w:rPr>
        <w:t xml:space="preserve">entangled </w:t>
      </w:r>
      <w:r w:rsidRPr="005A0C0E">
        <w:rPr>
          <w:lang w:val="en-US"/>
        </w:rPr>
        <w:t xml:space="preserve">into the question </w:t>
      </w:r>
      <w:r w:rsidR="006440A0" w:rsidRPr="005A0C0E">
        <w:rPr>
          <w:lang w:val="en-US"/>
        </w:rPr>
        <w:t>about the</w:t>
      </w:r>
      <w:r w:rsidRPr="005A0C0E">
        <w:rPr>
          <w:lang w:val="en-US"/>
        </w:rPr>
        <w:t xml:space="preserve"> loan amount and period. Thus, </w:t>
      </w:r>
      <w:r w:rsidR="006440A0" w:rsidRPr="005A0C0E">
        <w:rPr>
          <w:lang w:val="en-US"/>
        </w:rPr>
        <w:t xml:space="preserve">we cannot know </w:t>
      </w:r>
      <w:r w:rsidRPr="005A0C0E">
        <w:rPr>
          <w:lang w:val="en-US"/>
        </w:rPr>
        <w:t xml:space="preserve">whether the barrier is actually the interest rate or whether it is related to other </w:t>
      </w:r>
      <w:r w:rsidR="00F22F18" w:rsidRPr="005A0C0E">
        <w:rPr>
          <w:lang w:val="en-US"/>
        </w:rPr>
        <w:t xml:space="preserve">design issues. </w:t>
      </w:r>
      <w:r w:rsidR="006714AB" w:rsidRPr="005A0C0E">
        <w:rPr>
          <w:lang w:val="en-US"/>
        </w:rPr>
        <w:t xml:space="preserve">The relative importance of the barriers as measured by the NUDIPU survey is </w:t>
      </w:r>
      <w:r w:rsidR="007F4F83" w:rsidRPr="005A0C0E">
        <w:rPr>
          <w:lang w:val="en-US"/>
        </w:rPr>
        <w:t>summarized</w:t>
      </w:r>
      <w:r w:rsidR="006714AB" w:rsidRPr="005A0C0E">
        <w:rPr>
          <w:lang w:val="en-US"/>
        </w:rPr>
        <w:t xml:space="preserve"> in Figure 2.</w:t>
      </w:r>
    </w:p>
    <w:p w:rsidR="00F224B0" w:rsidRPr="005A0C0E" w:rsidRDefault="00F224B0" w:rsidP="001D2446">
      <w:pPr>
        <w:spacing w:line="480" w:lineRule="auto"/>
        <w:rPr>
          <w:lang w:val="en-US"/>
        </w:rPr>
      </w:pPr>
      <w:r w:rsidRPr="005A0C0E">
        <w:rPr>
          <w:lang w:val="en-US"/>
        </w:rPr>
        <w:t xml:space="preserve">In the NUDIPU survey, it is possible to </w:t>
      </w:r>
      <w:r w:rsidR="007F4F83" w:rsidRPr="005A0C0E">
        <w:rPr>
          <w:lang w:val="en-US"/>
        </w:rPr>
        <w:t>categorize</w:t>
      </w:r>
      <w:r w:rsidRPr="005A0C0E">
        <w:rPr>
          <w:lang w:val="en-US"/>
        </w:rPr>
        <w:t xml:space="preserve"> the answers according to the respondents’ personal characteristics (Beisland and Mersland, 2012</w:t>
      </w:r>
      <w:r w:rsidR="00ED0E40" w:rsidRPr="005A0C0E">
        <w:rPr>
          <w:lang w:val="en-US"/>
        </w:rPr>
        <w:t>a</w:t>
      </w:r>
      <w:r w:rsidRPr="005A0C0E">
        <w:rPr>
          <w:lang w:val="en-US"/>
        </w:rPr>
        <w:t>).</w:t>
      </w:r>
      <w:r w:rsidR="00750BE1" w:rsidRPr="005A0C0E">
        <w:rPr>
          <w:lang w:val="en-US"/>
        </w:rPr>
        <w:t xml:space="preserve"> A general result is that respondents with higher </w:t>
      </w:r>
      <w:r w:rsidR="00750BE1" w:rsidRPr="005A0C0E">
        <w:rPr>
          <w:lang w:val="en-US"/>
        </w:rPr>
        <w:lastRenderedPageBreak/>
        <w:t xml:space="preserve">education levels fear rejection less than those </w:t>
      </w:r>
      <w:r w:rsidR="00F9154C" w:rsidRPr="005A0C0E">
        <w:rPr>
          <w:lang w:val="en-US"/>
        </w:rPr>
        <w:t xml:space="preserve">respondents </w:t>
      </w:r>
      <w:r w:rsidR="00750BE1" w:rsidRPr="005A0C0E">
        <w:rPr>
          <w:lang w:val="en-US"/>
        </w:rPr>
        <w:t xml:space="preserve">with little or no education. Moreover, farmers and the hearing impaired are generally more pessimistic than </w:t>
      </w:r>
      <w:r w:rsidR="00D838C2">
        <w:rPr>
          <w:lang w:val="en-US"/>
        </w:rPr>
        <w:t>other respondents</w:t>
      </w:r>
      <w:r w:rsidR="00750BE1" w:rsidRPr="005A0C0E">
        <w:rPr>
          <w:lang w:val="en-US"/>
        </w:rPr>
        <w:t xml:space="preserve">. </w:t>
      </w:r>
      <w:r w:rsidR="00F9154C" w:rsidRPr="005A0C0E">
        <w:rPr>
          <w:lang w:val="en-US"/>
        </w:rPr>
        <w:t>F</w:t>
      </w:r>
      <w:r w:rsidR="00750BE1" w:rsidRPr="005A0C0E">
        <w:rPr>
          <w:lang w:val="en-US"/>
        </w:rPr>
        <w:t xml:space="preserve">inally, </w:t>
      </w:r>
      <w:r w:rsidR="00F9154C" w:rsidRPr="005A0C0E">
        <w:rPr>
          <w:lang w:val="en-US"/>
        </w:rPr>
        <w:t xml:space="preserve">respondents </w:t>
      </w:r>
      <w:r w:rsidR="00750BE1" w:rsidRPr="005A0C0E">
        <w:rPr>
          <w:lang w:val="en-US"/>
        </w:rPr>
        <w:t xml:space="preserve">who already have some experience with </w:t>
      </w:r>
      <w:r w:rsidR="005D5EE4" w:rsidRPr="005A0C0E">
        <w:rPr>
          <w:lang w:val="en-US"/>
        </w:rPr>
        <w:t xml:space="preserve">the </w:t>
      </w:r>
      <w:r w:rsidR="00750BE1" w:rsidRPr="005A0C0E">
        <w:rPr>
          <w:lang w:val="en-US"/>
        </w:rPr>
        <w:t xml:space="preserve">services </w:t>
      </w:r>
      <w:r w:rsidR="005D5EE4" w:rsidRPr="005A0C0E">
        <w:rPr>
          <w:lang w:val="en-US"/>
        </w:rPr>
        <w:t>fear rejectio</w:t>
      </w:r>
      <w:r w:rsidR="00D838C2">
        <w:rPr>
          <w:lang w:val="en-US"/>
        </w:rPr>
        <w:t>n</w:t>
      </w:r>
      <w:r w:rsidR="00D838C2" w:rsidRPr="005A0C0E">
        <w:rPr>
          <w:lang w:val="en-US"/>
        </w:rPr>
        <w:t xml:space="preserve"> less </w:t>
      </w:r>
      <w:r w:rsidR="005D5EE4" w:rsidRPr="005A0C0E">
        <w:rPr>
          <w:lang w:val="en-US"/>
        </w:rPr>
        <w:t xml:space="preserve">than </w:t>
      </w:r>
      <w:r w:rsidR="00F9154C" w:rsidRPr="005A0C0E">
        <w:rPr>
          <w:lang w:val="en-US"/>
        </w:rPr>
        <w:t xml:space="preserve">respondents </w:t>
      </w:r>
      <w:r w:rsidR="005D5EE4" w:rsidRPr="005A0C0E">
        <w:rPr>
          <w:lang w:val="en-US"/>
        </w:rPr>
        <w:t xml:space="preserve">without any microfinance experience. </w:t>
      </w:r>
    </w:p>
    <w:p w:rsidR="00D833E9" w:rsidRPr="005A0C0E" w:rsidRDefault="00D833E9" w:rsidP="001D2446">
      <w:pPr>
        <w:spacing w:line="480" w:lineRule="auto"/>
        <w:rPr>
          <w:lang w:val="en-US"/>
        </w:rPr>
      </w:pPr>
      <w:r w:rsidRPr="005A0C0E">
        <w:rPr>
          <w:lang w:val="en-US"/>
        </w:rPr>
        <w:t>Applying the AMFIU survey, Beisland and Mersland (2012</w:t>
      </w:r>
      <w:r w:rsidR="00ED0E40" w:rsidRPr="005A0C0E">
        <w:rPr>
          <w:lang w:val="en-US"/>
        </w:rPr>
        <w:t>b</w:t>
      </w:r>
      <w:r w:rsidRPr="005A0C0E">
        <w:rPr>
          <w:lang w:val="en-US"/>
        </w:rPr>
        <w:t xml:space="preserve">) study the barriers to microfinance services from a staff perspective. In the AMFIU survey, the respondents – the staff members </w:t>
      </w:r>
      <w:r w:rsidR="00D838C2">
        <w:rPr>
          <w:lang w:val="en-US"/>
        </w:rPr>
        <w:t>–</w:t>
      </w:r>
      <w:r w:rsidR="00D838C2" w:rsidRPr="005A0C0E">
        <w:rPr>
          <w:lang w:val="en-US"/>
        </w:rPr>
        <w:t xml:space="preserve"> </w:t>
      </w:r>
      <w:r w:rsidRPr="005A0C0E">
        <w:rPr>
          <w:lang w:val="en-US"/>
        </w:rPr>
        <w:t xml:space="preserve">were presented </w:t>
      </w:r>
      <w:r w:rsidR="00323473" w:rsidRPr="005A0C0E">
        <w:rPr>
          <w:lang w:val="en-US"/>
        </w:rPr>
        <w:t>with</w:t>
      </w:r>
      <w:r w:rsidRPr="005A0C0E">
        <w:rPr>
          <w:lang w:val="en-US"/>
        </w:rPr>
        <w:t xml:space="preserve"> 16 statements. For each statement, the answers were graded from 1 to 5, where 1 denoted “Fully disagree” and 5 “Fully agree”.  Beisland and Mersland (2012</w:t>
      </w:r>
      <w:r w:rsidR="00ED0E40" w:rsidRPr="005A0C0E">
        <w:rPr>
          <w:lang w:val="en-US"/>
        </w:rPr>
        <w:t>b</w:t>
      </w:r>
      <w:r w:rsidRPr="005A0C0E">
        <w:rPr>
          <w:lang w:val="en-US"/>
        </w:rPr>
        <w:t xml:space="preserve">) </w:t>
      </w:r>
      <w:r w:rsidR="00F9154C" w:rsidRPr="005A0C0E">
        <w:rPr>
          <w:lang w:val="en-US"/>
        </w:rPr>
        <w:t>categorize</w:t>
      </w:r>
      <w:r w:rsidRPr="005A0C0E">
        <w:rPr>
          <w:lang w:val="en-US"/>
        </w:rPr>
        <w:t xml:space="preserve"> the statements according to the five barriers to microfinance.</w:t>
      </w:r>
    </w:p>
    <w:p w:rsidR="00F05EFC" w:rsidRPr="005A0C0E" w:rsidRDefault="008939B9" w:rsidP="001D2446">
      <w:pPr>
        <w:spacing w:line="480" w:lineRule="auto"/>
        <w:rPr>
          <w:lang w:val="en-US"/>
        </w:rPr>
      </w:pPr>
      <w:r w:rsidRPr="005A0C0E">
        <w:rPr>
          <w:lang w:val="en-US"/>
        </w:rPr>
        <w:t>T</w:t>
      </w:r>
      <w:r w:rsidR="00D833E9" w:rsidRPr="005A0C0E">
        <w:rPr>
          <w:lang w:val="en-US"/>
        </w:rPr>
        <w:t xml:space="preserve">he data reveal that the staff </w:t>
      </w:r>
      <w:r w:rsidR="00976F66" w:rsidRPr="005A0C0E">
        <w:rPr>
          <w:lang w:val="en-US"/>
        </w:rPr>
        <w:t>generally disagree</w:t>
      </w:r>
      <w:r w:rsidRPr="005A0C0E">
        <w:rPr>
          <w:lang w:val="en-US"/>
        </w:rPr>
        <w:t>s</w:t>
      </w:r>
      <w:r w:rsidR="00976F66" w:rsidRPr="005A0C0E">
        <w:rPr>
          <w:lang w:val="en-US"/>
        </w:rPr>
        <w:t xml:space="preserve"> with the statement that </w:t>
      </w:r>
      <w:r w:rsidR="00B379D9" w:rsidRPr="005A0C0E">
        <w:rPr>
          <w:lang w:val="en-US"/>
        </w:rPr>
        <w:t>persons with disabilities</w:t>
      </w:r>
      <w:r w:rsidR="00976F66" w:rsidRPr="005A0C0E">
        <w:rPr>
          <w:lang w:val="en-US"/>
        </w:rPr>
        <w:t xml:space="preserve"> lack the skills to run viable businesses</w:t>
      </w:r>
      <w:r w:rsidRPr="005A0C0E">
        <w:rPr>
          <w:lang w:val="en-US"/>
        </w:rPr>
        <w:t xml:space="preserve">. </w:t>
      </w:r>
      <w:r w:rsidR="00F9154C" w:rsidRPr="005A0C0E">
        <w:rPr>
          <w:lang w:val="en-US"/>
        </w:rPr>
        <w:t>Nevertheless</w:t>
      </w:r>
      <w:r w:rsidR="00976F66" w:rsidRPr="005A0C0E">
        <w:rPr>
          <w:lang w:val="en-US"/>
        </w:rPr>
        <w:t xml:space="preserve">, most </w:t>
      </w:r>
      <w:r w:rsidR="00535E9E" w:rsidRPr="005A0C0E">
        <w:rPr>
          <w:lang w:val="en-US"/>
        </w:rPr>
        <w:t xml:space="preserve">respondents believe that one could easily increase the outreach to </w:t>
      </w:r>
      <w:r w:rsidR="00B379D9" w:rsidRPr="005A0C0E">
        <w:rPr>
          <w:lang w:val="en-US"/>
        </w:rPr>
        <w:t>persons with disabilities</w:t>
      </w:r>
      <w:r w:rsidR="00535E9E" w:rsidRPr="005A0C0E">
        <w:rPr>
          <w:lang w:val="en-US"/>
        </w:rPr>
        <w:t xml:space="preserve"> through more personal efforts. The </w:t>
      </w:r>
      <w:r w:rsidR="001576FB" w:rsidRPr="005A0C0E">
        <w:rPr>
          <w:lang w:val="en-US"/>
        </w:rPr>
        <w:t xml:space="preserve">survey </w:t>
      </w:r>
      <w:r w:rsidR="00535E9E" w:rsidRPr="005A0C0E">
        <w:rPr>
          <w:lang w:val="en-US"/>
        </w:rPr>
        <w:t>show</w:t>
      </w:r>
      <w:r w:rsidR="001576FB" w:rsidRPr="005A0C0E">
        <w:rPr>
          <w:lang w:val="en-US"/>
        </w:rPr>
        <w:t>s</w:t>
      </w:r>
      <w:r w:rsidR="00535E9E" w:rsidRPr="005A0C0E">
        <w:rPr>
          <w:lang w:val="en-US"/>
        </w:rPr>
        <w:t xml:space="preserve"> that the staff does not believe </w:t>
      </w:r>
      <w:r w:rsidR="00D838C2">
        <w:rPr>
          <w:lang w:val="en-US"/>
        </w:rPr>
        <w:t xml:space="preserve">that </w:t>
      </w:r>
      <w:r w:rsidR="00535E9E" w:rsidRPr="005A0C0E">
        <w:rPr>
          <w:lang w:val="en-US"/>
        </w:rPr>
        <w:t xml:space="preserve">exclusion by other members of credit groups </w:t>
      </w:r>
      <w:r w:rsidR="00162175">
        <w:rPr>
          <w:lang w:val="en-US"/>
        </w:rPr>
        <w:t>is</w:t>
      </w:r>
      <w:r w:rsidR="00535E9E" w:rsidRPr="005A0C0E">
        <w:rPr>
          <w:lang w:val="en-US"/>
        </w:rPr>
        <w:t xml:space="preserve"> particularly widespread</w:t>
      </w:r>
      <w:r w:rsidR="00F9154C" w:rsidRPr="005A0C0E">
        <w:rPr>
          <w:lang w:val="en-US"/>
        </w:rPr>
        <w:t>; however,</w:t>
      </w:r>
      <w:r w:rsidR="00535E9E" w:rsidRPr="005A0C0E">
        <w:rPr>
          <w:lang w:val="en-US"/>
        </w:rPr>
        <w:t xml:space="preserve"> data </w:t>
      </w:r>
      <w:r w:rsidR="001576FB" w:rsidRPr="005A0C0E">
        <w:rPr>
          <w:lang w:val="en-US"/>
        </w:rPr>
        <w:t xml:space="preserve">described earlier </w:t>
      </w:r>
      <w:r w:rsidR="00535E9E" w:rsidRPr="005A0C0E">
        <w:rPr>
          <w:lang w:val="en-US"/>
        </w:rPr>
        <w:t>suggest that th</w:t>
      </w:r>
      <w:r w:rsidR="00F9154C" w:rsidRPr="005A0C0E">
        <w:rPr>
          <w:lang w:val="en-US"/>
        </w:rPr>
        <w:t>is</w:t>
      </w:r>
      <w:r w:rsidR="00535E9E" w:rsidRPr="005A0C0E">
        <w:rPr>
          <w:lang w:val="en-US"/>
        </w:rPr>
        <w:t xml:space="preserve"> barrier </w:t>
      </w:r>
      <w:r w:rsidR="00D838C2">
        <w:rPr>
          <w:lang w:val="en-US"/>
        </w:rPr>
        <w:t>may be</w:t>
      </w:r>
      <w:r w:rsidR="00D838C2" w:rsidRPr="005A0C0E">
        <w:rPr>
          <w:lang w:val="en-US"/>
        </w:rPr>
        <w:t xml:space="preserve"> </w:t>
      </w:r>
      <w:r w:rsidR="00535E9E" w:rsidRPr="005A0C0E">
        <w:rPr>
          <w:lang w:val="en-US"/>
        </w:rPr>
        <w:t xml:space="preserve">relevant. Furthermore, </w:t>
      </w:r>
      <w:r w:rsidRPr="005A0C0E">
        <w:rPr>
          <w:lang w:val="en-US"/>
        </w:rPr>
        <w:t xml:space="preserve">the </w:t>
      </w:r>
      <w:r w:rsidR="00535E9E" w:rsidRPr="005A0C0E">
        <w:rPr>
          <w:lang w:val="en-US"/>
        </w:rPr>
        <w:t xml:space="preserve">staff strongly believes in motivating existing credit groups to take on disabled clients as a general means to increase the outreach to the disabled. </w:t>
      </w:r>
      <w:r w:rsidR="00D266B3">
        <w:rPr>
          <w:lang w:val="en-US"/>
        </w:rPr>
        <w:t>It is also worth mentioning that the respondents</w:t>
      </w:r>
      <w:r w:rsidR="00F05EFC" w:rsidRPr="005A0C0E">
        <w:rPr>
          <w:lang w:val="en-US"/>
        </w:rPr>
        <w:t xml:space="preserve"> agree more or less unanimously that one should identify successful disabled customers and use those </w:t>
      </w:r>
      <w:r w:rsidR="00E03564" w:rsidRPr="005A0C0E">
        <w:rPr>
          <w:lang w:val="en-US"/>
        </w:rPr>
        <w:t xml:space="preserve">as examples on how </w:t>
      </w:r>
      <w:r w:rsidR="00F05EFC" w:rsidRPr="005A0C0E">
        <w:rPr>
          <w:lang w:val="en-US"/>
        </w:rPr>
        <w:t xml:space="preserve">to reach </w:t>
      </w:r>
      <w:r w:rsidR="00E03564" w:rsidRPr="005A0C0E">
        <w:rPr>
          <w:lang w:val="en-US"/>
        </w:rPr>
        <w:t xml:space="preserve">out to </w:t>
      </w:r>
      <w:r w:rsidR="00F05EFC" w:rsidRPr="005A0C0E">
        <w:rPr>
          <w:lang w:val="en-US"/>
        </w:rPr>
        <w:t xml:space="preserve">more disabled costumers. </w:t>
      </w:r>
    </w:p>
    <w:p w:rsidR="00F05EFC" w:rsidRPr="005A0C0E" w:rsidRDefault="00F9154C" w:rsidP="001D2446">
      <w:pPr>
        <w:spacing w:line="480" w:lineRule="auto"/>
        <w:rPr>
          <w:lang w:val="en-US"/>
        </w:rPr>
      </w:pPr>
      <w:r w:rsidRPr="005A0C0E">
        <w:rPr>
          <w:lang w:val="en-US"/>
        </w:rPr>
        <w:t>In the AMFIU survey, t</w:t>
      </w:r>
      <w:r w:rsidR="00F05EFC" w:rsidRPr="005A0C0E">
        <w:rPr>
          <w:lang w:val="en-US"/>
        </w:rPr>
        <w:t>here are generally few differences in the responses</w:t>
      </w:r>
      <w:r w:rsidRPr="005A0C0E">
        <w:rPr>
          <w:lang w:val="en-US"/>
        </w:rPr>
        <w:t xml:space="preserve"> </w:t>
      </w:r>
      <w:r w:rsidR="00F05EFC" w:rsidRPr="005A0C0E">
        <w:rPr>
          <w:lang w:val="en-US"/>
        </w:rPr>
        <w:t xml:space="preserve">based on the respondents’ personal characteristics. However, some interesting aspects are revealed. </w:t>
      </w:r>
      <w:r w:rsidR="00F843D3" w:rsidRPr="005A0C0E">
        <w:rPr>
          <w:lang w:val="en-US"/>
        </w:rPr>
        <w:t>For instance</w:t>
      </w:r>
      <w:r w:rsidR="00F05EFC" w:rsidRPr="005A0C0E">
        <w:rPr>
          <w:lang w:val="en-US"/>
        </w:rPr>
        <w:t xml:space="preserve">, credit officers, the staff with direct contact with the costumers, appear less convinced that discrimination </w:t>
      </w:r>
      <w:r w:rsidR="00F843D3" w:rsidRPr="005A0C0E">
        <w:rPr>
          <w:lang w:val="en-US"/>
        </w:rPr>
        <w:t xml:space="preserve">of persons with disabilities </w:t>
      </w:r>
      <w:r w:rsidR="00F05EFC" w:rsidRPr="005A0C0E">
        <w:rPr>
          <w:lang w:val="en-US"/>
        </w:rPr>
        <w:t xml:space="preserve">does not occur. Moreover, staff members with disabled relatives are </w:t>
      </w:r>
      <w:r w:rsidR="00F843D3" w:rsidRPr="005A0C0E">
        <w:rPr>
          <w:lang w:val="en-US"/>
        </w:rPr>
        <w:t xml:space="preserve">more </w:t>
      </w:r>
      <w:r w:rsidR="00F05EFC" w:rsidRPr="005A0C0E">
        <w:rPr>
          <w:lang w:val="en-US"/>
        </w:rPr>
        <w:t xml:space="preserve">optimistic with respect to </w:t>
      </w:r>
      <w:r w:rsidR="00B379D9" w:rsidRPr="005A0C0E">
        <w:rPr>
          <w:lang w:val="en-US"/>
        </w:rPr>
        <w:t>persons with disabilities</w:t>
      </w:r>
      <w:r w:rsidR="00E03564" w:rsidRPr="005A0C0E">
        <w:rPr>
          <w:lang w:val="en-US"/>
        </w:rPr>
        <w:t>’</w:t>
      </w:r>
      <w:r w:rsidR="00F05EFC" w:rsidRPr="005A0C0E">
        <w:rPr>
          <w:lang w:val="en-US"/>
        </w:rPr>
        <w:t xml:space="preserve"> ability to run successful businesses. </w:t>
      </w:r>
      <w:r w:rsidR="0002430B" w:rsidRPr="005A0C0E">
        <w:rPr>
          <w:lang w:val="en-US"/>
        </w:rPr>
        <w:t xml:space="preserve">There is </w:t>
      </w:r>
      <w:r w:rsidR="0002430B" w:rsidRPr="005A0C0E">
        <w:rPr>
          <w:lang w:val="en-US"/>
        </w:rPr>
        <w:lastRenderedPageBreak/>
        <w:t>some evidence that younger staff members have a more positive attitude toward costumers</w:t>
      </w:r>
      <w:r w:rsidR="00D838C2" w:rsidRPr="00D838C2">
        <w:rPr>
          <w:lang w:val="en-US"/>
        </w:rPr>
        <w:t xml:space="preserve"> </w:t>
      </w:r>
      <w:r w:rsidR="00D838C2">
        <w:rPr>
          <w:lang w:val="en-US"/>
        </w:rPr>
        <w:t xml:space="preserve">with </w:t>
      </w:r>
      <w:r w:rsidR="00D838C2" w:rsidRPr="005A0C0E">
        <w:rPr>
          <w:lang w:val="en-US"/>
        </w:rPr>
        <w:t>disab</w:t>
      </w:r>
      <w:r w:rsidR="00D838C2">
        <w:rPr>
          <w:lang w:val="en-US"/>
        </w:rPr>
        <w:t>ilities</w:t>
      </w:r>
      <w:r w:rsidR="0002430B" w:rsidRPr="005A0C0E">
        <w:rPr>
          <w:lang w:val="en-US"/>
        </w:rPr>
        <w:t xml:space="preserve">, whereas very few differences are found when the staff members’ gender and length of work experience are investigated. </w:t>
      </w:r>
    </w:p>
    <w:p w:rsidR="00431631" w:rsidRPr="005A0C0E" w:rsidRDefault="00431631" w:rsidP="004E05EF">
      <w:pPr>
        <w:spacing w:line="480" w:lineRule="auto"/>
        <w:rPr>
          <w:lang w:val="en-US"/>
        </w:rPr>
      </w:pPr>
    </w:p>
    <w:p w:rsidR="00431631" w:rsidRPr="005A0C0E" w:rsidRDefault="00431631" w:rsidP="004E05EF">
      <w:pPr>
        <w:spacing w:line="480" w:lineRule="auto"/>
        <w:rPr>
          <w:b/>
          <w:lang w:val="en-US"/>
        </w:rPr>
      </w:pPr>
      <w:r w:rsidRPr="005A0C0E">
        <w:rPr>
          <w:b/>
          <w:lang w:val="en-US"/>
        </w:rPr>
        <w:t xml:space="preserve">4. </w:t>
      </w:r>
      <w:r w:rsidR="00B8611E" w:rsidRPr="005A0C0E">
        <w:rPr>
          <w:b/>
          <w:lang w:val="en-US"/>
        </w:rPr>
        <w:t xml:space="preserve">Recommendations for </w:t>
      </w:r>
      <w:r w:rsidR="00E03564" w:rsidRPr="005A0C0E">
        <w:rPr>
          <w:b/>
          <w:lang w:val="en-US"/>
        </w:rPr>
        <w:t>practitioners and policy makers</w:t>
      </w:r>
    </w:p>
    <w:p w:rsidR="009E3E4B" w:rsidRPr="005A0C0E" w:rsidRDefault="006865CD" w:rsidP="004E05EF">
      <w:pPr>
        <w:spacing w:line="480" w:lineRule="auto"/>
        <w:rPr>
          <w:lang w:val="en-US"/>
        </w:rPr>
      </w:pPr>
      <w:r w:rsidRPr="005A0C0E">
        <w:rPr>
          <w:lang w:val="en-US"/>
        </w:rPr>
        <w:t xml:space="preserve">This section outlines suggestions for </w:t>
      </w:r>
      <w:r w:rsidR="004D769C" w:rsidRPr="005A0C0E">
        <w:rPr>
          <w:lang w:val="en-US"/>
        </w:rPr>
        <w:t>practitioners and policy makers</w:t>
      </w:r>
      <w:r w:rsidRPr="005A0C0E">
        <w:rPr>
          <w:lang w:val="en-US"/>
        </w:rPr>
        <w:t xml:space="preserve">. The main focus is on policy recommendations to increase </w:t>
      </w:r>
      <w:r w:rsidR="00B379D9" w:rsidRPr="005A0C0E">
        <w:rPr>
          <w:lang w:val="en-US"/>
        </w:rPr>
        <w:t>persons with disabilities</w:t>
      </w:r>
      <w:r w:rsidRPr="005A0C0E">
        <w:rPr>
          <w:lang w:val="en-US"/>
        </w:rPr>
        <w:t>’ access and usefulness of microfinance services</w:t>
      </w:r>
      <w:r w:rsidR="00F25FC6" w:rsidRPr="005A0C0E">
        <w:rPr>
          <w:lang w:val="en-US"/>
        </w:rPr>
        <w:t>; however,</w:t>
      </w:r>
      <w:r w:rsidRPr="005A0C0E">
        <w:rPr>
          <w:lang w:val="en-US"/>
        </w:rPr>
        <w:t xml:space="preserve"> we also present proposals for future research. Many of the suggestions follow more or less directly from the presented research, while other</w:t>
      </w:r>
      <w:r w:rsidR="00F25FC6" w:rsidRPr="005A0C0E">
        <w:rPr>
          <w:lang w:val="en-US"/>
        </w:rPr>
        <w:t xml:space="preserve"> suggestions</w:t>
      </w:r>
      <w:r w:rsidRPr="005A0C0E">
        <w:rPr>
          <w:lang w:val="en-US"/>
        </w:rPr>
        <w:t xml:space="preserve"> are based on subjective judgment</w:t>
      </w:r>
      <w:r w:rsidR="004D769C" w:rsidRPr="005A0C0E">
        <w:rPr>
          <w:lang w:val="en-US"/>
        </w:rPr>
        <w:t xml:space="preserve"> </w:t>
      </w:r>
      <w:r w:rsidR="00F25FC6" w:rsidRPr="005A0C0E">
        <w:rPr>
          <w:lang w:val="en-US"/>
        </w:rPr>
        <w:t>because</w:t>
      </w:r>
      <w:r w:rsidR="004D769C" w:rsidRPr="005A0C0E">
        <w:rPr>
          <w:lang w:val="en-US"/>
        </w:rPr>
        <w:t xml:space="preserve"> available research is still scarce</w:t>
      </w:r>
      <w:r w:rsidRPr="005A0C0E">
        <w:rPr>
          <w:lang w:val="en-US"/>
        </w:rPr>
        <w:t>.</w:t>
      </w:r>
      <w:r w:rsidR="004D769C" w:rsidRPr="005A0C0E">
        <w:rPr>
          <w:lang w:val="en-US"/>
        </w:rPr>
        <w:t xml:space="preserve"> </w:t>
      </w:r>
    </w:p>
    <w:p w:rsidR="00AE0237" w:rsidRPr="005A0C0E" w:rsidRDefault="00BB3B32" w:rsidP="004E05EF">
      <w:pPr>
        <w:spacing w:line="480" w:lineRule="auto"/>
        <w:rPr>
          <w:lang w:val="en-US"/>
        </w:rPr>
      </w:pPr>
      <w:r w:rsidRPr="005A0C0E">
        <w:rPr>
          <w:lang w:val="en-US"/>
        </w:rPr>
        <w:t xml:space="preserve">The discussion is </w:t>
      </w:r>
      <w:r w:rsidR="009A30DC" w:rsidRPr="005A0C0E">
        <w:rPr>
          <w:lang w:val="en-US"/>
        </w:rPr>
        <w:t>centered</w:t>
      </w:r>
      <w:r w:rsidRPr="005A0C0E">
        <w:rPr>
          <w:lang w:val="en-US"/>
        </w:rPr>
        <w:t xml:space="preserve"> on persons with physical </w:t>
      </w:r>
      <w:r w:rsidR="004D769C" w:rsidRPr="005A0C0E">
        <w:rPr>
          <w:lang w:val="en-US"/>
        </w:rPr>
        <w:t>impairments</w:t>
      </w:r>
      <w:r w:rsidRPr="005A0C0E">
        <w:rPr>
          <w:lang w:val="en-US"/>
        </w:rPr>
        <w:t xml:space="preserve">. Mental </w:t>
      </w:r>
      <w:r w:rsidR="004D769C" w:rsidRPr="005A0C0E">
        <w:rPr>
          <w:lang w:val="en-US"/>
        </w:rPr>
        <w:t>impairments</w:t>
      </w:r>
      <w:r w:rsidRPr="005A0C0E">
        <w:rPr>
          <w:lang w:val="en-US"/>
        </w:rPr>
        <w:t xml:space="preserve"> and access to microfinance </w:t>
      </w:r>
      <w:r w:rsidR="004D769C" w:rsidRPr="005A0C0E">
        <w:rPr>
          <w:lang w:val="en-US"/>
        </w:rPr>
        <w:t xml:space="preserve">and involvement in self-employment activities </w:t>
      </w:r>
      <w:r w:rsidRPr="005A0C0E">
        <w:rPr>
          <w:lang w:val="en-US"/>
        </w:rPr>
        <w:t>are, to the best of our knowledge, not discussed in the literature. Thus, the first suggestion for future research is</w:t>
      </w:r>
      <w:r w:rsidR="00D838C2">
        <w:rPr>
          <w:lang w:val="en-US"/>
        </w:rPr>
        <w:t xml:space="preserve"> to</w:t>
      </w:r>
      <w:r w:rsidRPr="005A0C0E">
        <w:rPr>
          <w:lang w:val="en-US"/>
        </w:rPr>
        <w:t xml:space="preserve"> simply </w:t>
      </w:r>
      <w:r w:rsidR="004D769C" w:rsidRPr="005A0C0E">
        <w:rPr>
          <w:lang w:val="en-US"/>
        </w:rPr>
        <w:t>analyze to what extent</w:t>
      </w:r>
      <w:r w:rsidRPr="005A0C0E">
        <w:rPr>
          <w:lang w:val="en-US"/>
        </w:rPr>
        <w:t xml:space="preserve"> </w:t>
      </w:r>
      <w:r w:rsidR="00D20E11" w:rsidRPr="005A0C0E">
        <w:rPr>
          <w:lang w:val="en-US"/>
        </w:rPr>
        <w:t xml:space="preserve">persons with </w:t>
      </w:r>
      <w:r w:rsidRPr="005A0C0E">
        <w:rPr>
          <w:lang w:val="en-US"/>
        </w:rPr>
        <w:t>mental</w:t>
      </w:r>
      <w:r w:rsidR="00D20E11" w:rsidRPr="005A0C0E">
        <w:rPr>
          <w:lang w:val="en-US"/>
        </w:rPr>
        <w:t xml:space="preserve"> </w:t>
      </w:r>
      <w:r w:rsidR="00B379D9" w:rsidRPr="005A0C0E">
        <w:rPr>
          <w:lang w:val="en-US"/>
        </w:rPr>
        <w:t>disabilities</w:t>
      </w:r>
      <w:r w:rsidRPr="005A0C0E">
        <w:rPr>
          <w:lang w:val="en-US"/>
        </w:rPr>
        <w:t xml:space="preserve"> </w:t>
      </w:r>
      <w:r w:rsidR="004D769C" w:rsidRPr="005A0C0E">
        <w:rPr>
          <w:lang w:val="en-US"/>
        </w:rPr>
        <w:t>are involved in self-employment activities and to what extent they may benefit from</w:t>
      </w:r>
      <w:r w:rsidRPr="005A0C0E">
        <w:rPr>
          <w:lang w:val="en-US"/>
        </w:rPr>
        <w:t xml:space="preserve"> microfinance services. </w:t>
      </w:r>
    </w:p>
    <w:p w:rsidR="004D769C" w:rsidRPr="005A0C0E" w:rsidRDefault="004D769C" w:rsidP="004E05EF">
      <w:pPr>
        <w:spacing w:line="480" w:lineRule="auto"/>
        <w:rPr>
          <w:lang w:val="en-US"/>
        </w:rPr>
      </w:pPr>
    </w:p>
    <w:p w:rsidR="00B379D9" w:rsidRPr="005A0C0E" w:rsidRDefault="00022778" w:rsidP="00B379D9">
      <w:pPr>
        <w:spacing w:line="480" w:lineRule="auto"/>
        <w:rPr>
          <w:b/>
          <w:lang w:val="en-US"/>
        </w:rPr>
      </w:pPr>
      <w:r w:rsidRPr="005A0C0E">
        <w:rPr>
          <w:b/>
          <w:lang w:val="en-US"/>
        </w:rPr>
        <w:t>4.1</w:t>
      </w:r>
      <w:r w:rsidR="00AE0237" w:rsidRPr="005A0C0E">
        <w:rPr>
          <w:b/>
          <w:lang w:val="en-US"/>
        </w:rPr>
        <w:t xml:space="preserve">. </w:t>
      </w:r>
      <w:r w:rsidR="00B67A17" w:rsidRPr="005A0C0E">
        <w:rPr>
          <w:b/>
          <w:lang w:val="en-US"/>
        </w:rPr>
        <w:t>Borrowing for self-employment activities</w:t>
      </w:r>
      <w:r w:rsidR="00B379D9" w:rsidRPr="005A0C0E">
        <w:rPr>
          <w:b/>
          <w:lang w:val="en-US"/>
        </w:rPr>
        <w:t xml:space="preserve"> </w:t>
      </w:r>
    </w:p>
    <w:p w:rsidR="00D20E11" w:rsidRPr="005A0C0E" w:rsidRDefault="00B379D9" w:rsidP="00B379D9">
      <w:pPr>
        <w:spacing w:line="480" w:lineRule="auto"/>
        <w:rPr>
          <w:color w:val="221E1F"/>
          <w:lang w:val="en-US"/>
        </w:rPr>
      </w:pPr>
      <w:r w:rsidRPr="005A0C0E">
        <w:rPr>
          <w:color w:val="221E1F"/>
          <w:lang w:val="en-US"/>
        </w:rPr>
        <w:t xml:space="preserve">Financial capital is a necessary resource for self-employment but cannot stand alone in ensuring the viability of a business. Other capital, </w:t>
      </w:r>
      <w:r w:rsidR="00A11E7C" w:rsidRPr="005A0C0E">
        <w:rPr>
          <w:color w:val="221E1F"/>
          <w:lang w:val="en-US"/>
        </w:rPr>
        <w:t>such as</w:t>
      </w:r>
      <w:r w:rsidRPr="005A0C0E">
        <w:rPr>
          <w:color w:val="221E1F"/>
          <w:lang w:val="en-US"/>
        </w:rPr>
        <w:t xml:space="preserve"> human and social capital, </w:t>
      </w:r>
      <w:r w:rsidR="00A11E7C" w:rsidRPr="005A0C0E">
        <w:rPr>
          <w:color w:val="221E1F"/>
          <w:lang w:val="en-US"/>
        </w:rPr>
        <w:t>is</w:t>
      </w:r>
      <w:r w:rsidRPr="005A0C0E">
        <w:rPr>
          <w:color w:val="221E1F"/>
          <w:lang w:val="en-US"/>
        </w:rPr>
        <w:t xml:space="preserve"> necessary for the efficient use of financial capital. It is the combination of the different types of capital together with market opportunities that de</w:t>
      </w:r>
      <w:r w:rsidR="00B71E65" w:rsidRPr="005A0C0E">
        <w:rPr>
          <w:color w:val="221E1F"/>
          <w:lang w:val="en-US"/>
        </w:rPr>
        <w:t>termines</w:t>
      </w:r>
      <w:r w:rsidRPr="005A0C0E">
        <w:rPr>
          <w:color w:val="221E1F"/>
          <w:lang w:val="en-US"/>
        </w:rPr>
        <w:t xml:space="preserve"> whether persons with disabilities’ self-employment activities will succeed. </w:t>
      </w:r>
      <w:r w:rsidR="00D838C2">
        <w:rPr>
          <w:color w:val="221E1F"/>
          <w:lang w:val="en-US"/>
        </w:rPr>
        <w:t>Financial c</w:t>
      </w:r>
      <w:r w:rsidR="00D838C2" w:rsidRPr="005A0C0E">
        <w:rPr>
          <w:color w:val="221E1F"/>
          <w:lang w:val="en-US"/>
        </w:rPr>
        <w:t xml:space="preserve">apital </w:t>
      </w:r>
      <w:r w:rsidR="00D20E11" w:rsidRPr="005A0C0E">
        <w:rPr>
          <w:color w:val="221E1F"/>
          <w:lang w:val="en-US"/>
        </w:rPr>
        <w:t>alone will often not improve the welfare of persons with disabilities</w:t>
      </w:r>
      <w:r w:rsidR="00B71E65" w:rsidRPr="005A0C0E">
        <w:rPr>
          <w:color w:val="221E1F"/>
          <w:lang w:val="en-US"/>
        </w:rPr>
        <w:t>,</w:t>
      </w:r>
      <w:r w:rsidR="00D20E11" w:rsidRPr="005A0C0E">
        <w:rPr>
          <w:color w:val="221E1F"/>
          <w:lang w:val="en-US"/>
        </w:rPr>
        <w:t xml:space="preserve"> and in </w:t>
      </w:r>
      <w:r w:rsidR="00D20E11" w:rsidRPr="005A0C0E">
        <w:rPr>
          <w:color w:val="221E1F"/>
          <w:lang w:val="en-US"/>
        </w:rPr>
        <w:lastRenderedPageBreak/>
        <w:t>some cases</w:t>
      </w:r>
      <w:r w:rsidR="001D2AC7" w:rsidRPr="005A0C0E">
        <w:rPr>
          <w:color w:val="221E1F"/>
          <w:lang w:val="en-US"/>
        </w:rPr>
        <w:t xml:space="preserve">, </w:t>
      </w:r>
      <w:r w:rsidR="00B71E65" w:rsidRPr="005A0C0E">
        <w:rPr>
          <w:color w:val="221E1F"/>
          <w:lang w:val="en-US"/>
        </w:rPr>
        <w:t>if</w:t>
      </w:r>
      <w:r w:rsidR="001D2AC7" w:rsidRPr="005A0C0E">
        <w:rPr>
          <w:color w:val="221E1F"/>
          <w:lang w:val="en-US"/>
        </w:rPr>
        <w:t xml:space="preserve"> a loan cannot be repaid or can only be repaid with great sacrifices, </w:t>
      </w:r>
      <w:r w:rsidR="00D20E11" w:rsidRPr="005A0C0E">
        <w:rPr>
          <w:color w:val="221E1F"/>
          <w:lang w:val="en-US"/>
        </w:rPr>
        <w:t xml:space="preserve">access to credit might actually be harmful for </w:t>
      </w:r>
      <w:r w:rsidR="001D2AC7" w:rsidRPr="005A0C0E">
        <w:rPr>
          <w:color w:val="221E1F"/>
          <w:lang w:val="en-US"/>
        </w:rPr>
        <w:t xml:space="preserve">persons with disabilities. The following figure </w:t>
      </w:r>
      <w:r w:rsidR="00DB4F38">
        <w:rPr>
          <w:color w:val="221E1F"/>
          <w:lang w:val="en-US"/>
        </w:rPr>
        <w:t xml:space="preserve">(adapted from </w:t>
      </w:r>
      <w:proofErr w:type="spellStart"/>
      <w:r w:rsidR="00DB4F38">
        <w:rPr>
          <w:color w:val="221E1F"/>
          <w:lang w:val="en-US"/>
        </w:rPr>
        <w:t>Martinelli</w:t>
      </w:r>
      <w:proofErr w:type="spellEnd"/>
      <w:r w:rsidR="00DB4F38">
        <w:rPr>
          <w:color w:val="221E1F"/>
          <w:lang w:val="en-US"/>
        </w:rPr>
        <w:t xml:space="preserve"> and Mersland, 2010) </w:t>
      </w:r>
      <w:r w:rsidR="001D2AC7" w:rsidRPr="005A0C0E">
        <w:rPr>
          <w:color w:val="221E1F"/>
          <w:lang w:val="en-US"/>
        </w:rPr>
        <w:t xml:space="preserve">illustrates the importance of </w:t>
      </w:r>
      <w:r w:rsidR="00B71E65" w:rsidRPr="005A0C0E">
        <w:rPr>
          <w:color w:val="221E1F"/>
          <w:lang w:val="en-US"/>
        </w:rPr>
        <w:t>analyzing</w:t>
      </w:r>
      <w:r w:rsidR="001D2AC7" w:rsidRPr="005A0C0E">
        <w:rPr>
          <w:color w:val="221E1F"/>
          <w:lang w:val="en-US"/>
        </w:rPr>
        <w:t xml:space="preserve"> all types of capital before recommending the provision of credit to persons with disabilities </w:t>
      </w:r>
      <w:r w:rsidR="00B71E65" w:rsidRPr="005A0C0E">
        <w:rPr>
          <w:color w:val="221E1F"/>
          <w:lang w:val="en-US"/>
        </w:rPr>
        <w:t xml:space="preserve">for </w:t>
      </w:r>
      <w:r w:rsidR="001D2AC7" w:rsidRPr="005A0C0E">
        <w:rPr>
          <w:color w:val="221E1F"/>
          <w:lang w:val="en-US"/>
        </w:rPr>
        <w:t xml:space="preserve">self-employment activities.  </w:t>
      </w:r>
    </w:p>
    <w:p w:rsidR="00695793" w:rsidRPr="005A0C0E" w:rsidRDefault="00695793" w:rsidP="00B379D9">
      <w:pPr>
        <w:spacing w:line="480" w:lineRule="auto"/>
        <w:rPr>
          <w:b/>
          <w:color w:val="221E1F"/>
          <w:lang w:val="en-US"/>
        </w:rPr>
      </w:pPr>
      <w:r w:rsidRPr="005A0C0E">
        <w:rPr>
          <w:b/>
          <w:color w:val="221E1F"/>
          <w:lang w:val="en-US"/>
        </w:rPr>
        <w:t>Figure 3</w:t>
      </w:r>
    </w:p>
    <w:p w:rsidR="001D2AC7" w:rsidRPr="005A0C0E" w:rsidRDefault="00EB1E1D" w:rsidP="00EB1E1D">
      <w:pPr>
        <w:spacing w:line="480" w:lineRule="auto"/>
        <w:rPr>
          <w:color w:val="221E1F"/>
          <w:lang w:val="en-US"/>
        </w:rPr>
      </w:pPr>
      <w:r w:rsidRPr="005A0C0E">
        <w:rPr>
          <w:color w:val="221E1F"/>
          <w:lang w:val="en-US"/>
        </w:rPr>
        <w:t>DPOs and policy makers advocating for better access to credit for persons with disabilities should keep in mind that the core of</w:t>
      </w:r>
      <w:r w:rsidR="00B3424F" w:rsidRPr="005A0C0E">
        <w:rPr>
          <w:color w:val="221E1F"/>
          <w:lang w:val="en-US"/>
        </w:rPr>
        <w:t xml:space="preserve"> a</w:t>
      </w:r>
      <w:r w:rsidR="00DA19BB" w:rsidRPr="005A0C0E">
        <w:rPr>
          <w:color w:val="221E1F"/>
          <w:lang w:val="en-US"/>
        </w:rPr>
        <w:t>ny</w:t>
      </w:r>
      <w:r w:rsidRPr="005A0C0E">
        <w:rPr>
          <w:color w:val="221E1F"/>
          <w:lang w:val="en-US"/>
        </w:rPr>
        <w:t xml:space="preserve"> business activity is normally not its financial capital but</w:t>
      </w:r>
      <w:r w:rsidR="00033930" w:rsidRPr="005A0C0E">
        <w:rPr>
          <w:color w:val="221E1F"/>
          <w:lang w:val="en-US"/>
        </w:rPr>
        <w:t xml:space="preserve"> the human and social capital of the micro</w:t>
      </w:r>
      <w:r w:rsidR="00AD4580" w:rsidRPr="005A0C0E">
        <w:rPr>
          <w:color w:val="221E1F"/>
          <w:lang w:val="en-US"/>
        </w:rPr>
        <w:t xml:space="preserve"> </w:t>
      </w:r>
      <w:r w:rsidR="00033930" w:rsidRPr="005A0C0E">
        <w:rPr>
          <w:color w:val="221E1F"/>
          <w:lang w:val="en-US"/>
        </w:rPr>
        <w:t xml:space="preserve">entrepreneur. </w:t>
      </w:r>
      <w:r w:rsidRPr="005A0C0E">
        <w:rPr>
          <w:color w:val="221E1F"/>
          <w:lang w:val="en-US"/>
        </w:rPr>
        <w:t xml:space="preserve">The </w:t>
      </w:r>
      <w:r w:rsidR="00AD4580" w:rsidRPr="005A0C0E">
        <w:rPr>
          <w:color w:val="221E1F"/>
          <w:lang w:val="en-US"/>
        </w:rPr>
        <w:t>categorization</w:t>
      </w:r>
      <w:r w:rsidRPr="005A0C0E">
        <w:rPr>
          <w:color w:val="221E1F"/>
          <w:lang w:val="en-US"/>
        </w:rPr>
        <w:t xml:space="preserve"> suggested in Figure </w:t>
      </w:r>
      <w:r w:rsidR="00695793" w:rsidRPr="005A0C0E">
        <w:rPr>
          <w:color w:val="221E1F"/>
          <w:lang w:val="en-US"/>
        </w:rPr>
        <w:t>3</w:t>
      </w:r>
      <w:r w:rsidRPr="005A0C0E">
        <w:rPr>
          <w:color w:val="221E1F"/>
          <w:lang w:val="en-US"/>
        </w:rPr>
        <w:t xml:space="preserve"> is </w:t>
      </w:r>
      <w:r w:rsidR="00033930" w:rsidRPr="005A0C0E">
        <w:rPr>
          <w:color w:val="221E1F"/>
          <w:lang w:val="en-US"/>
        </w:rPr>
        <w:t xml:space="preserve">therefore </w:t>
      </w:r>
      <w:r w:rsidRPr="005A0C0E">
        <w:rPr>
          <w:color w:val="221E1F"/>
          <w:lang w:val="en-US"/>
        </w:rPr>
        <w:t xml:space="preserve">an important exercise to </w:t>
      </w:r>
      <w:r w:rsidR="00AD4580" w:rsidRPr="005A0C0E">
        <w:rPr>
          <w:color w:val="221E1F"/>
          <w:lang w:val="en-US"/>
        </w:rPr>
        <w:t>be conducted</w:t>
      </w:r>
      <w:r w:rsidRPr="005A0C0E">
        <w:rPr>
          <w:color w:val="221E1F"/>
          <w:lang w:val="en-US"/>
        </w:rPr>
        <w:t xml:space="preserve"> before determining the most appropriate type of intervention when </w:t>
      </w:r>
      <w:r w:rsidR="0007379F" w:rsidRPr="005A0C0E">
        <w:rPr>
          <w:color w:val="221E1F"/>
          <w:lang w:val="en-US"/>
        </w:rPr>
        <w:t xml:space="preserve">planning </w:t>
      </w:r>
      <w:r w:rsidRPr="005A0C0E">
        <w:rPr>
          <w:color w:val="221E1F"/>
          <w:lang w:val="en-US"/>
        </w:rPr>
        <w:t xml:space="preserve">to improve the outcome of self-employment activities. </w:t>
      </w:r>
    </w:p>
    <w:p w:rsidR="00695793" w:rsidRPr="005A0C0E" w:rsidRDefault="00162175" w:rsidP="00EB1E1D">
      <w:pPr>
        <w:spacing w:line="480" w:lineRule="auto"/>
        <w:rPr>
          <w:color w:val="221E1F"/>
          <w:lang w:val="en-US"/>
        </w:rPr>
      </w:pPr>
      <w:r>
        <w:rPr>
          <w:color w:val="221E1F"/>
          <w:lang w:val="en-US"/>
        </w:rPr>
        <w:t xml:space="preserve">The finding of </w:t>
      </w:r>
      <w:r w:rsidR="001529C7" w:rsidRPr="005A0C0E">
        <w:rPr>
          <w:color w:val="221E1F"/>
          <w:lang w:val="en-US"/>
        </w:rPr>
        <w:t xml:space="preserve">Beisland </w:t>
      </w:r>
      <w:r>
        <w:rPr>
          <w:color w:val="221E1F"/>
          <w:lang w:val="en-US"/>
        </w:rPr>
        <w:t>and</w:t>
      </w:r>
      <w:r w:rsidR="001529C7" w:rsidRPr="005A0C0E">
        <w:rPr>
          <w:color w:val="221E1F"/>
          <w:lang w:val="en-US"/>
        </w:rPr>
        <w:t xml:space="preserve"> Mersland (2012c</w:t>
      </w:r>
      <w:r w:rsidR="00695793" w:rsidRPr="005A0C0E">
        <w:rPr>
          <w:color w:val="221E1F"/>
          <w:lang w:val="en-US"/>
        </w:rPr>
        <w:t>) that earning levels differ considerably depending on the type of business in which the person with disabilities is involved</w:t>
      </w:r>
      <w:r w:rsidR="00A41E1B" w:rsidRPr="005A0C0E">
        <w:rPr>
          <w:color w:val="221E1F"/>
          <w:lang w:val="en-US"/>
        </w:rPr>
        <w:t xml:space="preserve"> </w:t>
      </w:r>
      <w:r w:rsidR="00695793" w:rsidRPr="005A0C0E">
        <w:rPr>
          <w:color w:val="221E1F"/>
          <w:lang w:val="en-US"/>
        </w:rPr>
        <w:t xml:space="preserve">should motivate DPOs and others involved in livelihood projects to better assess potential income levels before recommending </w:t>
      </w:r>
      <w:r w:rsidR="001529C7" w:rsidRPr="005A0C0E">
        <w:rPr>
          <w:color w:val="221E1F"/>
          <w:lang w:val="en-US"/>
        </w:rPr>
        <w:t xml:space="preserve">business ideas. In particular, the finding </w:t>
      </w:r>
      <w:proofErr w:type="gramStart"/>
      <w:r w:rsidR="001529C7" w:rsidRPr="005A0C0E">
        <w:rPr>
          <w:color w:val="221E1F"/>
          <w:lang w:val="en-US"/>
        </w:rPr>
        <w:t>that persons</w:t>
      </w:r>
      <w:proofErr w:type="gramEnd"/>
      <w:r w:rsidR="001529C7" w:rsidRPr="005A0C0E">
        <w:rPr>
          <w:color w:val="221E1F"/>
          <w:lang w:val="en-US"/>
        </w:rPr>
        <w:t xml:space="preserve"> </w:t>
      </w:r>
      <w:r w:rsidR="001576FB" w:rsidRPr="005A0C0E">
        <w:rPr>
          <w:color w:val="221E1F"/>
          <w:lang w:val="en-US"/>
        </w:rPr>
        <w:t>whose</w:t>
      </w:r>
      <w:r w:rsidR="001529C7" w:rsidRPr="005A0C0E">
        <w:rPr>
          <w:color w:val="221E1F"/>
          <w:lang w:val="en-US"/>
        </w:rPr>
        <w:t xml:space="preserve"> primary income </w:t>
      </w:r>
      <w:r w:rsidR="001576FB" w:rsidRPr="005A0C0E">
        <w:rPr>
          <w:color w:val="221E1F"/>
          <w:lang w:val="en-US"/>
        </w:rPr>
        <w:t xml:space="preserve">is </w:t>
      </w:r>
      <w:r w:rsidR="001529C7" w:rsidRPr="005A0C0E">
        <w:rPr>
          <w:color w:val="221E1F"/>
          <w:lang w:val="en-US"/>
        </w:rPr>
        <w:t>from farming have</w:t>
      </w:r>
      <w:r w:rsidR="00E65F03" w:rsidRPr="005A0C0E">
        <w:rPr>
          <w:color w:val="221E1F"/>
          <w:lang w:val="en-US"/>
        </w:rPr>
        <w:t xml:space="preserve"> a</w:t>
      </w:r>
      <w:r w:rsidR="001529C7" w:rsidRPr="005A0C0E">
        <w:rPr>
          <w:color w:val="221E1F"/>
          <w:lang w:val="en-US"/>
        </w:rPr>
        <w:t xml:space="preserve"> considerably lower income than others should lead livelihood project designers to consider off-farm opportunities for income generation. </w:t>
      </w:r>
      <w:r w:rsidR="00695793" w:rsidRPr="005A0C0E">
        <w:rPr>
          <w:color w:val="221E1F"/>
          <w:lang w:val="en-US"/>
        </w:rPr>
        <w:t xml:space="preserve">  </w:t>
      </w:r>
    </w:p>
    <w:p w:rsidR="00182C48" w:rsidRPr="005A0C0E" w:rsidRDefault="0050599C" w:rsidP="00EB1E1D">
      <w:pPr>
        <w:spacing w:line="480" w:lineRule="auto"/>
        <w:rPr>
          <w:color w:val="221E1F"/>
          <w:lang w:val="en-US"/>
        </w:rPr>
      </w:pPr>
      <w:r w:rsidRPr="005A0C0E">
        <w:rPr>
          <w:color w:val="221E1F"/>
          <w:lang w:val="en-US"/>
        </w:rPr>
        <w:t>Alt</w:t>
      </w:r>
      <w:r w:rsidR="00182C48" w:rsidRPr="005A0C0E">
        <w:rPr>
          <w:color w:val="221E1F"/>
          <w:lang w:val="en-US"/>
        </w:rPr>
        <w:t>hough the title of this sub-section is borrowing for self-employment activities</w:t>
      </w:r>
      <w:r w:rsidR="0093251F" w:rsidRPr="005A0C0E">
        <w:rPr>
          <w:color w:val="221E1F"/>
          <w:lang w:val="en-US"/>
        </w:rPr>
        <w:t>,</w:t>
      </w:r>
      <w:r w:rsidR="00182C48" w:rsidRPr="005A0C0E">
        <w:rPr>
          <w:color w:val="221E1F"/>
          <w:lang w:val="en-US"/>
        </w:rPr>
        <w:t xml:space="preserve"> we also want to </w:t>
      </w:r>
      <w:r w:rsidR="009F6F37" w:rsidRPr="005A0C0E">
        <w:rPr>
          <w:color w:val="221E1F"/>
          <w:lang w:val="en-US"/>
        </w:rPr>
        <w:t xml:space="preserve">emphasize </w:t>
      </w:r>
      <w:r w:rsidR="00182C48" w:rsidRPr="005A0C0E">
        <w:rPr>
          <w:color w:val="221E1F"/>
          <w:lang w:val="en-US"/>
        </w:rPr>
        <w:t xml:space="preserve">that borrowing should not always be restricted to business loans only. Particularly loans for home improvement can be important for persons with disabilities. For example, many persons with disabilities need houses adapted to their needs. Moreover, as </w:t>
      </w:r>
      <w:r w:rsidR="009F6F37" w:rsidRPr="005A0C0E">
        <w:rPr>
          <w:color w:val="221E1F"/>
          <w:lang w:val="en-US"/>
        </w:rPr>
        <w:t>indicated</w:t>
      </w:r>
      <w:r w:rsidR="00182C48" w:rsidRPr="005A0C0E">
        <w:rPr>
          <w:color w:val="221E1F"/>
          <w:lang w:val="en-US"/>
        </w:rPr>
        <w:t xml:space="preserve"> by Collins et al. </w:t>
      </w:r>
      <w:r w:rsidR="00CA5163" w:rsidRPr="005A0C0E">
        <w:rPr>
          <w:color w:val="221E1F"/>
          <w:lang w:val="en-US"/>
        </w:rPr>
        <w:t>(</w:t>
      </w:r>
      <w:r w:rsidR="00182C48" w:rsidRPr="005A0C0E">
        <w:rPr>
          <w:color w:val="221E1F"/>
          <w:lang w:val="en-US"/>
        </w:rPr>
        <w:t xml:space="preserve">2009) poor people often need loans to cover medical </w:t>
      </w:r>
      <w:r w:rsidR="00003ACF" w:rsidRPr="005A0C0E">
        <w:rPr>
          <w:color w:val="221E1F"/>
          <w:lang w:val="en-US"/>
        </w:rPr>
        <w:t xml:space="preserve">or other precarious needs. Such loans should be granted, </w:t>
      </w:r>
      <w:r w:rsidR="00D838C2">
        <w:rPr>
          <w:color w:val="221E1F"/>
          <w:lang w:val="en-US"/>
        </w:rPr>
        <w:t xml:space="preserve">on the </w:t>
      </w:r>
      <w:r w:rsidR="00D838C2" w:rsidRPr="005A0C0E">
        <w:rPr>
          <w:color w:val="221E1F"/>
          <w:lang w:val="en-US"/>
        </w:rPr>
        <w:t>conditio</w:t>
      </w:r>
      <w:r w:rsidR="00D838C2">
        <w:rPr>
          <w:color w:val="221E1F"/>
          <w:lang w:val="en-US"/>
        </w:rPr>
        <w:t>n</w:t>
      </w:r>
      <w:r w:rsidR="00D838C2" w:rsidRPr="005A0C0E">
        <w:rPr>
          <w:color w:val="221E1F"/>
          <w:lang w:val="en-US"/>
        </w:rPr>
        <w:t xml:space="preserve"> </w:t>
      </w:r>
      <w:r w:rsidR="00003ACF" w:rsidRPr="005A0C0E">
        <w:rPr>
          <w:color w:val="221E1F"/>
          <w:lang w:val="en-US"/>
        </w:rPr>
        <w:t xml:space="preserve">that the person has the </w:t>
      </w:r>
      <w:r w:rsidR="00D838C2">
        <w:rPr>
          <w:color w:val="221E1F"/>
          <w:lang w:val="en-US"/>
        </w:rPr>
        <w:t>requisite</w:t>
      </w:r>
      <w:r w:rsidR="00D838C2" w:rsidRPr="005A0C0E">
        <w:rPr>
          <w:color w:val="221E1F"/>
          <w:lang w:val="en-US"/>
        </w:rPr>
        <w:t xml:space="preserve"> </w:t>
      </w:r>
      <w:r w:rsidR="00003ACF" w:rsidRPr="005A0C0E">
        <w:rPr>
          <w:color w:val="221E1F"/>
          <w:lang w:val="en-US"/>
        </w:rPr>
        <w:t xml:space="preserve">repayment capacity.  </w:t>
      </w:r>
      <w:r w:rsidR="00182C48" w:rsidRPr="005A0C0E">
        <w:rPr>
          <w:color w:val="221E1F"/>
          <w:lang w:val="en-US"/>
        </w:rPr>
        <w:t xml:space="preserve"> </w:t>
      </w:r>
    </w:p>
    <w:p w:rsidR="006865CD" w:rsidRPr="005A0C0E" w:rsidRDefault="006865CD" w:rsidP="004E05EF">
      <w:pPr>
        <w:spacing w:line="480" w:lineRule="auto"/>
        <w:rPr>
          <w:lang w:val="en-US"/>
        </w:rPr>
      </w:pPr>
    </w:p>
    <w:p w:rsidR="006865CD" w:rsidRPr="005A0C0E" w:rsidRDefault="006865CD" w:rsidP="004E05EF">
      <w:pPr>
        <w:spacing w:line="480" w:lineRule="auto"/>
        <w:rPr>
          <w:b/>
          <w:lang w:val="en-US"/>
        </w:rPr>
      </w:pPr>
      <w:r w:rsidRPr="005A0C0E">
        <w:rPr>
          <w:b/>
          <w:lang w:val="en-US"/>
        </w:rPr>
        <w:lastRenderedPageBreak/>
        <w:t>4.</w:t>
      </w:r>
      <w:r w:rsidR="00022778" w:rsidRPr="005A0C0E">
        <w:rPr>
          <w:b/>
          <w:lang w:val="en-US"/>
        </w:rPr>
        <w:t>2</w:t>
      </w:r>
      <w:r w:rsidRPr="005A0C0E">
        <w:rPr>
          <w:b/>
          <w:lang w:val="en-US"/>
        </w:rPr>
        <w:t xml:space="preserve">. </w:t>
      </w:r>
      <w:r w:rsidR="00022778" w:rsidRPr="005A0C0E">
        <w:rPr>
          <w:b/>
          <w:lang w:val="en-US"/>
        </w:rPr>
        <w:t>The importance of savings</w:t>
      </w:r>
    </w:p>
    <w:p w:rsidR="00D930CF" w:rsidRPr="005A0C0E" w:rsidRDefault="00210AA3" w:rsidP="004E05EF">
      <w:pPr>
        <w:spacing w:line="480" w:lineRule="auto"/>
        <w:rPr>
          <w:lang w:val="en-US"/>
        </w:rPr>
      </w:pPr>
      <w:r w:rsidRPr="005A0C0E">
        <w:rPr>
          <w:lang w:val="en-US"/>
        </w:rPr>
        <w:t>Beisland and Mersland (2012</w:t>
      </w:r>
      <w:r w:rsidR="00A20562" w:rsidRPr="005A0C0E">
        <w:rPr>
          <w:lang w:val="en-US"/>
        </w:rPr>
        <w:t>d</w:t>
      </w:r>
      <w:r w:rsidRPr="005A0C0E">
        <w:rPr>
          <w:lang w:val="en-US"/>
        </w:rPr>
        <w:t>) find that economic activities often start with saving</w:t>
      </w:r>
      <w:r w:rsidR="001464E2" w:rsidRPr="005A0C0E">
        <w:rPr>
          <w:lang w:val="en-US"/>
        </w:rPr>
        <w:t>s</w:t>
      </w:r>
      <w:r w:rsidRPr="005A0C0E">
        <w:rPr>
          <w:lang w:val="en-US"/>
        </w:rPr>
        <w:t>; in fact, 50% of the respondents of the study state that they use saving</w:t>
      </w:r>
      <w:r w:rsidR="001464E2" w:rsidRPr="005A0C0E">
        <w:rPr>
          <w:lang w:val="en-US"/>
        </w:rPr>
        <w:t>s</w:t>
      </w:r>
      <w:r w:rsidRPr="005A0C0E">
        <w:rPr>
          <w:lang w:val="en-US"/>
        </w:rPr>
        <w:t xml:space="preserve"> as their start-up capital. Another 43% </w:t>
      </w:r>
      <w:r w:rsidR="002B4B25" w:rsidRPr="005A0C0E">
        <w:rPr>
          <w:lang w:val="en-US"/>
        </w:rPr>
        <w:t>obtained</w:t>
      </w:r>
      <w:r w:rsidRPr="005A0C0E">
        <w:rPr>
          <w:lang w:val="en-US"/>
        </w:rPr>
        <w:t xml:space="preserve"> their start-up capital from sales of assets </w:t>
      </w:r>
      <w:r w:rsidR="007833D6" w:rsidRPr="005A0C0E">
        <w:rPr>
          <w:lang w:val="en-US"/>
        </w:rPr>
        <w:t xml:space="preserve">or from family members. Only 7% started their business with </w:t>
      </w:r>
      <w:r w:rsidR="007C71B1" w:rsidRPr="005A0C0E">
        <w:rPr>
          <w:lang w:val="en-US"/>
        </w:rPr>
        <w:t>the help of a loan</w:t>
      </w:r>
      <w:r w:rsidR="007833D6" w:rsidRPr="005A0C0E">
        <w:rPr>
          <w:lang w:val="en-US"/>
        </w:rPr>
        <w:t xml:space="preserve">. </w:t>
      </w:r>
      <w:r w:rsidR="00F90649" w:rsidRPr="005A0C0E">
        <w:rPr>
          <w:lang w:val="en-US"/>
        </w:rPr>
        <w:t xml:space="preserve">This </w:t>
      </w:r>
      <w:r w:rsidR="002B4B25" w:rsidRPr="005A0C0E">
        <w:rPr>
          <w:lang w:val="en-US"/>
        </w:rPr>
        <w:t xml:space="preserve">result </w:t>
      </w:r>
      <w:r w:rsidR="00F90649" w:rsidRPr="005A0C0E">
        <w:rPr>
          <w:lang w:val="en-US"/>
        </w:rPr>
        <w:t>illustrates that disabled micro-entrepreneurs are similar to other entrepreneurs. It is well</w:t>
      </w:r>
      <w:r w:rsidR="005841DA" w:rsidRPr="005A0C0E">
        <w:rPr>
          <w:lang w:val="en-US"/>
        </w:rPr>
        <w:t xml:space="preserve"> </w:t>
      </w:r>
      <w:r w:rsidR="00F90649" w:rsidRPr="005A0C0E">
        <w:rPr>
          <w:lang w:val="en-US"/>
        </w:rPr>
        <w:t>know</w:t>
      </w:r>
      <w:r w:rsidR="006714AB" w:rsidRPr="005A0C0E">
        <w:rPr>
          <w:lang w:val="en-US"/>
        </w:rPr>
        <w:t>n</w:t>
      </w:r>
      <w:r w:rsidR="00F90649" w:rsidRPr="005A0C0E">
        <w:rPr>
          <w:lang w:val="en-US"/>
        </w:rPr>
        <w:t xml:space="preserve"> in the entrepreneurship literature that personal savings as well as help from family members and others are the </w:t>
      </w:r>
      <w:r w:rsidR="00DA3A14" w:rsidRPr="005A0C0E">
        <w:rPr>
          <w:lang w:val="en-US"/>
        </w:rPr>
        <w:t xml:space="preserve">financial </w:t>
      </w:r>
      <w:r w:rsidR="00F90649" w:rsidRPr="005A0C0E">
        <w:rPr>
          <w:lang w:val="en-US"/>
        </w:rPr>
        <w:t>capital used to initiate new business activities. The Ugandan data confirm, o</w:t>
      </w:r>
      <w:r w:rsidR="00DD6BDB" w:rsidRPr="005A0C0E">
        <w:rPr>
          <w:lang w:val="en-US"/>
        </w:rPr>
        <w:t xml:space="preserve">nce again, that loans are a minor source of funding for </w:t>
      </w:r>
      <w:r w:rsidR="00F90649" w:rsidRPr="005A0C0E">
        <w:rPr>
          <w:lang w:val="en-US"/>
        </w:rPr>
        <w:t>new self-employment</w:t>
      </w:r>
      <w:r w:rsidR="00DD6BDB" w:rsidRPr="005A0C0E">
        <w:rPr>
          <w:lang w:val="en-US"/>
        </w:rPr>
        <w:t xml:space="preserve"> activit</w:t>
      </w:r>
      <w:r w:rsidR="00625BFF" w:rsidRPr="005A0C0E">
        <w:rPr>
          <w:lang w:val="en-US"/>
        </w:rPr>
        <w:t>i</w:t>
      </w:r>
      <w:r w:rsidR="00DD6BDB" w:rsidRPr="005A0C0E">
        <w:rPr>
          <w:lang w:val="en-US"/>
        </w:rPr>
        <w:t xml:space="preserve">es. </w:t>
      </w:r>
      <w:r w:rsidR="00AD412D" w:rsidRPr="005A0C0E">
        <w:rPr>
          <w:lang w:val="en-US"/>
        </w:rPr>
        <w:t xml:space="preserve">The reasons for this </w:t>
      </w:r>
      <w:r w:rsidR="00B207A6" w:rsidRPr="005A0C0E">
        <w:rPr>
          <w:lang w:val="en-US"/>
        </w:rPr>
        <w:t xml:space="preserve">finding </w:t>
      </w:r>
      <w:r w:rsidR="000E5037">
        <w:rPr>
          <w:lang w:val="en-US"/>
        </w:rPr>
        <w:t>are</w:t>
      </w:r>
      <w:r w:rsidR="00B207A6" w:rsidRPr="005A0C0E">
        <w:rPr>
          <w:lang w:val="en-US"/>
        </w:rPr>
        <w:t>,</w:t>
      </w:r>
      <w:r w:rsidR="00AD412D" w:rsidRPr="005A0C0E">
        <w:rPr>
          <w:lang w:val="en-US"/>
        </w:rPr>
        <w:t xml:space="preserve"> first</w:t>
      </w:r>
      <w:r w:rsidR="00B207A6" w:rsidRPr="005A0C0E">
        <w:rPr>
          <w:lang w:val="en-US"/>
        </w:rPr>
        <w:t>,</w:t>
      </w:r>
      <w:r w:rsidR="00AD412D" w:rsidRPr="005A0C0E">
        <w:rPr>
          <w:lang w:val="en-US"/>
        </w:rPr>
        <w:t xml:space="preserve"> that survival rates of new enterprise ventures are seldom above 50% and</w:t>
      </w:r>
      <w:r w:rsidR="00D838C2">
        <w:rPr>
          <w:lang w:val="en-US"/>
        </w:rPr>
        <w:t xml:space="preserve"> that</w:t>
      </w:r>
      <w:r w:rsidR="00AD412D" w:rsidRPr="005A0C0E">
        <w:rPr>
          <w:lang w:val="en-US"/>
        </w:rPr>
        <w:t xml:space="preserve"> banks cannot </w:t>
      </w:r>
      <w:r w:rsidR="00A52813" w:rsidRPr="005A0C0E">
        <w:rPr>
          <w:lang w:val="en-US"/>
        </w:rPr>
        <w:t xml:space="preserve">take </w:t>
      </w:r>
      <w:r w:rsidR="00CA5163" w:rsidRPr="005A0C0E">
        <w:rPr>
          <w:lang w:val="en-US"/>
        </w:rPr>
        <w:t xml:space="preserve">such </w:t>
      </w:r>
      <w:r w:rsidR="00A52813" w:rsidRPr="005A0C0E">
        <w:rPr>
          <w:lang w:val="en-US"/>
        </w:rPr>
        <w:t xml:space="preserve">high </w:t>
      </w:r>
      <w:r w:rsidR="00AD412D" w:rsidRPr="005A0C0E">
        <w:rPr>
          <w:lang w:val="en-US"/>
        </w:rPr>
        <w:t>risk</w:t>
      </w:r>
      <w:r w:rsidR="00215DA3" w:rsidRPr="005A0C0E">
        <w:rPr>
          <w:lang w:val="en-US"/>
        </w:rPr>
        <w:t xml:space="preserve">s, and second, </w:t>
      </w:r>
      <w:r w:rsidR="00CA5163" w:rsidRPr="005A0C0E">
        <w:rPr>
          <w:lang w:val="en-US"/>
        </w:rPr>
        <w:t xml:space="preserve">that the </w:t>
      </w:r>
      <w:r w:rsidR="00215DA3" w:rsidRPr="005A0C0E">
        <w:rPr>
          <w:lang w:val="en-US"/>
        </w:rPr>
        <w:t xml:space="preserve">chance of success in business is higher </w:t>
      </w:r>
      <w:r w:rsidR="00B207A6" w:rsidRPr="005A0C0E">
        <w:rPr>
          <w:lang w:val="en-US"/>
        </w:rPr>
        <w:t>if</w:t>
      </w:r>
      <w:r w:rsidR="00215DA3" w:rsidRPr="005A0C0E">
        <w:rPr>
          <w:lang w:val="en-US"/>
        </w:rPr>
        <w:t xml:space="preserve"> the entrepreneur’s own money is at stake. This lat</w:t>
      </w:r>
      <w:r w:rsidR="00A20562" w:rsidRPr="005A0C0E">
        <w:rPr>
          <w:lang w:val="en-US"/>
        </w:rPr>
        <w:t>t</w:t>
      </w:r>
      <w:r w:rsidR="00215DA3" w:rsidRPr="005A0C0E">
        <w:rPr>
          <w:lang w:val="en-US"/>
        </w:rPr>
        <w:t xml:space="preserve">er </w:t>
      </w:r>
      <w:r w:rsidR="00D838C2">
        <w:rPr>
          <w:lang w:val="en-US"/>
        </w:rPr>
        <w:t>finding</w:t>
      </w:r>
      <w:r w:rsidR="00D838C2" w:rsidRPr="005A0C0E">
        <w:rPr>
          <w:lang w:val="en-US"/>
        </w:rPr>
        <w:t xml:space="preserve"> </w:t>
      </w:r>
      <w:r w:rsidR="00215DA3" w:rsidRPr="005A0C0E">
        <w:rPr>
          <w:lang w:val="en-US"/>
        </w:rPr>
        <w:t xml:space="preserve">is also </w:t>
      </w:r>
      <w:r w:rsidR="00D838C2">
        <w:rPr>
          <w:lang w:val="en-US"/>
        </w:rPr>
        <w:t>observed</w:t>
      </w:r>
      <w:r w:rsidR="00D838C2" w:rsidRPr="005A0C0E">
        <w:rPr>
          <w:lang w:val="en-US"/>
        </w:rPr>
        <w:t xml:space="preserve"> </w:t>
      </w:r>
      <w:r w:rsidR="00215DA3" w:rsidRPr="005A0C0E">
        <w:rPr>
          <w:lang w:val="en-US"/>
        </w:rPr>
        <w:t xml:space="preserve">in </w:t>
      </w:r>
      <w:r w:rsidR="00CA5163" w:rsidRPr="005A0C0E">
        <w:rPr>
          <w:lang w:val="en-US"/>
        </w:rPr>
        <w:t xml:space="preserve">the study of </w:t>
      </w:r>
      <w:r w:rsidR="00215DA3" w:rsidRPr="005A0C0E">
        <w:rPr>
          <w:lang w:val="en-US"/>
        </w:rPr>
        <w:t>Handicap International (2006)</w:t>
      </w:r>
      <w:r w:rsidR="00CA5163" w:rsidRPr="005A0C0E">
        <w:rPr>
          <w:lang w:val="en-US"/>
        </w:rPr>
        <w:t>;</w:t>
      </w:r>
      <w:r w:rsidR="00215DA3" w:rsidRPr="005A0C0E">
        <w:rPr>
          <w:lang w:val="en-US"/>
        </w:rPr>
        <w:t xml:space="preserve"> providing grants to help </w:t>
      </w:r>
      <w:r w:rsidR="00B379D9" w:rsidRPr="005A0C0E">
        <w:rPr>
          <w:lang w:val="en-US"/>
        </w:rPr>
        <w:t>persons with disabilities</w:t>
      </w:r>
      <w:r w:rsidR="00215DA3" w:rsidRPr="005A0C0E">
        <w:rPr>
          <w:lang w:val="en-US"/>
        </w:rPr>
        <w:t xml:space="preserve"> to become self-employed often lead</w:t>
      </w:r>
      <w:r w:rsidR="00B207A6" w:rsidRPr="005A0C0E">
        <w:rPr>
          <w:lang w:val="en-US"/>
        </w:rPr>
        <w:t>s</w:t>
      </w:r>
      <w:r w:rsidR="00215DA3" w:rsidRPr="005A0C0E">
        <w:rPr>
          <w:lang w:val="en-US"/>
        </w:rPr>
        <w:t xml:space="preserve"> to a dependency on grants and not a successful business activity. Moreover, </w:t>
      </w:r>
      <w:r w:rsidR="00B207A6" w:rsidRPr="005A0C0E">
        <w:rPr>
          <w:lang w:val="en-US"/>
        </w:rPr>
        <w:t>because</w:t>
      </w:r>
      <w:r w:rsidR="00215DA3" w:rsidRPr="005A0C0E">
        <w:rPr>
          <w:lang w:val="en-US"/>
        </w:rPr>
        <w:t xml:space="preserve"> lending methodologies normally condition that applicants have some</w:t>
      </w:r>
      <w:r w:rsidR="00D838C2">
        <w:rPr>
          <w:lang w:val="en-US"/>
        </w:rPr>
        <w:t xml:space="preserve"> existing</w:t>
      </w:r>
      <w:r w:rsidR="00215DA3" w:rsidRPr="005A0C0E">
        <w:rPr>
          <w:lang w:val="en-US"/>
        </w:rPr>
        <w:t xml:space="preserve"> savings</w:t>
      </w:r>
      <w:r w:rsidR="00B207A6" w:rsidRPr="005A0C0E">
        <w:rPr>
          <w:lang w:val="en-US"/>
        </w:rPr>
        <w:t>,</w:t>
      </w:r>
      <w:r w:rsidR="00215DA3" w:rsidRPr="005A0C0E">
        <w:rPr>
          <w:lang w:val="en-US"/>
        </w:rPr>
        <w:t xml:space="preserve"> it is actually </w:t>
      </w:r>
      <w:r w:rsidR="00625BFF" w:rsidRPr="005A0C0E">
        <w:rPr>
          <w:lang w:val="en-US"/>
        </w:rPr>
        <w:t xml:space="preserve">a prerequisite for </w:t>
      </w:r>
      <w:r w:rsidR="00215DA3" w:rsidRPr="005A0C0E">
        <w:rPr>
          <w:lang w:val="en-US"/>
        </w:rPr>
        <w:t xml:space="preserve">loans to first have demonstrated savings capacity. </w:t>
      </w:r>
      <w:r w:rsidR="003F1AEF" w:rsidRPr="005A0C0E">
        <w:rPr>
          <w:lang w:val="en-US"/>
        </w:rPr>
        <w:t xml:space="preserve">Taken together, </w:t>
      </w:r>
      <w:r w:rsidR="00436A9F" w:rsidRPr="005A0C0E">
        <w:rPr>
          <w:lang w:val="en-US"/>
        </w:rPr>
        <w:t xml:space="preserve">DPOs and policy makers </w:t>
      </w:r>
      <w:r w:rsidR="003F1AEF" w:rsidRPr="005A0C0E">
        <w:rPr>
          <w:lang w:val="en-US"/>
        </w:rPr>
        <w:t xml:space="preserve">interested in improving </w:t>
      </w:r>
      <w:r w:rsidR="00B379D9" w:rsidRPr="005A0C0E">
        <w:rPr>
          <w:lang w:val="en-US"/>
        </w:rPr>
        <w:t>persons with disabilities</w:t>
      </w:r>
      <w:r w:rsidR="003F1AEF" w:rsidRPr="005A0C0E">
        <w:rPr>
          <w:lang w:val="en-US"/>
        </w:rPr>
        <w:t>’ outcome from self-employment activities should focus on the importance of savings</w:t>
      </w:r>
      <w:r w:rsidR="00D838C2">
        <w:rPr>
          <w:lang w:val="en-US"/>
        </w:rPr>
        <w:t>,</w:t>
      </w:r>
      <w:r w:rsidR="003F1AEF" w:rsidRPr="005A0C0E">
        <w:rPr>
          <w:lang w:val="en-US"/>
        </w:rPr>
        <w:t xml:space="preserve"> not only loans.</w:t>
      </w:r>
    </w:p>
    <w:p w:rsidR="003F1AEF" w:rsidRPr="005A0C0E" w:rsidRDefault="003F1AEF" w:rsidP="004E05EF">
      <w:pPr>
        <w:spacing w:line="480" w:lineRule="auto"/>
        <w:rPr>
          <w:lang w:val="en-US"/>
        </w:rPr>
      </w:pPr>
      <w:r w:rsidRPr="005A0C0E">
        <w:rPr>
          <w:lang w:val="en-US"/>
        </w:rPr>
        <w:t>Another reason for focusing on savings is related to consumption smoothing. As mentioned</w:t>
      </w:r>
      <w:r w:rsidR="00D838C2">
        <w:rPr>
          <w:lang w:val="en-US"/>
        </w:rPr>
        <w:t xml:space="preserve"> above</w:t>
      </w:r>
      <w:r w:rsidRPr="005A0C0E">
        <w:rPr>
          <w:lang w:val="en-US"/>
        </w:rPr>
        <w:t xml:space="preserve">, a major challenge for poor persons is </w:t>
      </w:r>
      <w:r w:rsidR="00704F7A" w:rsidRPr="005A0C0E">
        <w:rPr>
          <w:lang w:val="en-US"/>
        </w:rPr>
        <w:t xml:space="preserve">the </w:t>
      </w:r>
      <w:r w:rsidRPr="005A0C0E">
        <w:rPr>
          <w:lang w:val="en-US"/>
        </w:rPr>
        <w:t xml:space="preserve">high variation </w:t>
      </w:r>
      <w:r w:rsidR="00704F7A" w:rsidRPr="005A0C0E">
        <w:rPr>
          <w:lang w:val="en-US"/>
        </w:rPr>
        <w:t xml:space="preserve">of </w:t>
      </w:r>
      <w:r w:rsidRPr="005A0C0E">
        <w:rPr>
          <w:lang w:val="en-US"/>
        </w:rPr>
        <w:t xml:space="preserve">incomes and expenses. Access to savings is what can best help balance uneven incomes and expenses and thus </w:t>
      </w:r>
      <w:r w:rsidR="003A450B" w:rsidRPr="005A0C0E">
        <w:rPr>
          <w:lang w:val="en-US"/>
        </w:rPr>
        <w:t xml:space="preserve">ensure </w:t>
      </w:r>
      <w:r w:rsidRPr="005A0C0E">
        <w:rPr>
          <w:lang w:val="en-US"/>
        </w:rPr>
        <w:t xml:space="preserve">that basic needs can be met on a daily basis. </w:t>
      </w:r>
      <w:r w:rsidR="00B67A17" w:rsidRPr="005A0C0E">
        <w:rPr>
          <w:lang w:val="en-US"/>
        </w:rPr>
        <w:t>M</w:t>
      </w:r>
      <w:r w:rsidRPr="005A0C0E">
        <w:rPr>
          <w:lang w:val="en-US"/>
        </w:rPr>
        <w:t xml:space="preserve">any may argue that </w:t>
      </w:r>
      <w:r w:rsidR="00B379D9" w:rsidRPr="005A0C0E">
        <w:rPr>
          <w:lang w:val="en-US"/>
        </w:rPr>
        <w:t>persons with disabilities</w:t>
      </w:r>
      <w:r w:rsidRPr="005A0C0E">
        <w:rPr>
          <w:lang w:val="en-US"/>
        </w:rPr>
        <w:t xml:space="preserve"> are too poor to save</w:t>
      </w:r>
      <w:r w:rsidR="00704F7A" w:rsidRPr="005A0C0E">
        <w:rPr>
          <w:lang w:val="en-US"/>
        </w:rPr>
        <w:t>; however,</w:t>
      </w:r>
      <w:r w:rsidR="00B67A17" w:rsidRPr="005A0C0E">
        <w:rPr>
          <w:lang w:val="en-US"/>
        </w:rPr>
        <w:t xml:space="preserve"> </w:t>
      </w:r>
      <w:r w:rsidRPr="005A0C0E">
        <w:rPr>
          <w:lang w:val="en-US"/>
        </w:rPr>
        <w:t>Beisland and Mersland (2012</w:t>
      </w:r>
      <w:r w:rsidR="00CA5163" w:rsidRPr="005A0C0E">
        <w:rPr>
          <w:lang w:val="en-US"/>
        </w:rPr>
        <w:t>d</w:t>
      </w:r>
      <w:r w:rsidRPr="005A0C0E">
        <w:rPr>
          <w:lang w:val="en-US"/>
        </w:rPr>
        <w:t xml:space="preserve">) document that </w:t>
      </w:r>
      <w:r w:rsidR="00CA5163" w:rsidRPr="005A0C0E">
        <w:rPr>
          <w:lang w:val="en-US"/>
        </w:rPr>
        <w:t xml:space="preserve">a vast majority </w:t>
      </w:r>
      <w:r w:rsidR="00704F7A" w:rsidRPr="005A0C0E">
        <w:rPr>
          <w:lang w:val="en-US"/>
        </w:rPr>
        <w:t xml:space="preserve">of </w:t>
      </w:r>
      <w:r w:rsidR="00D838C2">
        <w:rPr>
          <w:lang w:val="en-US"/>
        </w:rPr>
        <w:t>persons with</w:t>
      </w:r>
      <w:r w:rsidR="00704F7A" w:rsidRPr="005A0C0E">
        <w:rPr>
          <w:lang w:val="en-US"/>
        </w:rPr>
        <w:t xml:space="preserve"> </w:t>
      </w:r>
      <w:r w:rsidR="00D838C2" w:rsidRPr="00D838C2">
        <w:rPr>
          <w:lang w:val="en-US"/>
        </w:rPr>
        <w:t xml:space="preserve">disabilities </w:t>
      </w:r>
      <w:r w:rsidR="00CA5163" w:rsidRPr="005A0C0E">
        <w:rPr>
          <w:lang w:val="en-US"/>
        </w:rPr>
        <w:t>does</w:t>
      </w:r>
      <w:r w:rsidRPr="005A0C0E">
        <w:rPr>
          <w:lang w:val="en-US"/>
        </w:rPr>
        <w:t xml:space="preserve"> save. Th</w:t>
      </w:r>
      <w:r w:rsidR="00B67A17" w:rsidRPr="005A0C0E">
        <w:rPr>
          <w:lang w:val="en-US"/>
        </w:rPr>
        <w:t>e fact that poor people save (though often not in formal bank accounts) is now well documented in the literature (Collins et al.</w:t>
      </w:r>
      <w:r w:rsidR="00B9752A" w:rsidRPr="005A0C0E">
        <w:rPr>
          <w:lang w:val="en-US"/>
        </w:rPr>
        <w:t>,</w:t>
      </w:r>
      <w:r w:rsidR="00B67A17" w:rsidRPr="005A0C0E">
        <w:rPr>
          <w:lang w:val="en-US"/>
        </w:rPr>
        <w:t xml:space="preserve"> 2009) and should </w:t>
      </w:r>
      <w:r w:rsidR="00E143CC" w:rsidRPr="005A0C0E">
        <w:rPr>
          <w:lang w:val="en-US"/>
        </w:rPr>
        <w:t>be considered</w:t>
      </w:r>
      <w:r w:rsidR="00B67A17" w:rsidRPr="005A0C0E">
        <w:rPr>
          <w:lang w:val="en-US"/>
        </w:rPr>
        <w:t xml:space="preserve"> in development projects aiming to </w:t>
      </w:r>
      <w:r w:rsidR="00B67A17" w:rsidRPr="005A0C0E">
        <w:rPr>
          <w:lang w:val="en-US"/>
        </w:rPr>
        <w:lastRenderedPageBreak/>
        <w:t xml:space="preserve">improve </w:t>
      </w:r>
      <w:r w:rsidR="00B379D9" w:rsidRPr="005A0C0E">
        <w:rPr>
          <w:lang w:val="en-US"/>
        </w:rPr>
        <w:t>persons with disabilities</w:t>
      </w:r>
      <w:r w:rsidR="00B67A17" w:rsidRPr="005A0C0E">
        <w:rPr>
          <w:lang w:val="en-US"/>
        </w:rPr>
        <w:t xml:space="preserve">’ </w:t>
      </w:r>
      <w:r w:rsidR="00E143CC" w:rsidRPr="005A0C0E">
        <w:rPr>
          <w:lang w:val="en-US"/>
        </w:rPr>
        <w:t>entrepreneurial</w:t>
      </w:r>
      <w:r w:rsidR="00B67A17" w:rsidRPr="005A0C0E">
        <w:rPr>
          <w:lang w:val="en-US"/>
        </w:rPr>
        <w:t xml:space="preserve"> activities.</w:t>
      </w:r>
      <w:r w:rsidR="00DA3A14" w:rsidRPr="005A0C0E">
        <w:rPr>
          <w:lang w:val="en-US"/>
        </w:rPr>
        <w:t xml:space="preserve"> Moreover, projects promoting savings among poor people should keep in mind the title of the study by Mersland and Eggen (2007): “We cannot save alone”. Good project design thus combines individual savings with group structures. </w:t>
      </w:r>
    </w:p>
    <w:p w:rsidR="00033930" w:rsidRPr="005A0C0E" w:rsidRDefault="00033930" w:rsidP="004E05EF">
      <w:pPr>
        <w:spacing w:line="480" w:lineRule="auto"/>
        <w:rPr>
          <w:lang w:val="en-US"/>
        </w:rPr>
      </w:pPr>
    </w:p>
    <w:p w:rsidR="00B67A17" w:rsidRPr="005A0C0E" w:rsidRDefault="00B67A17" w:rsidP="004E05EF">
      <w:pPr>
        <w:spacing w:line="480" w:lineRule="auto"/>
        <w:rPr>
          <w:b/>
          <w:lang w:val="en-US"/>
        </w:rPr>
      </w:pPr>
      <w:r w:rsidRPr="005A0C0E">
        <w:rPr>
          <w:b/>
          <w:lang w:val="en-US"/>
        </w:rPr>
        <w:t>4.</w:t>
      </w:r>
      <w:r w:rsidR="00033930" w:rsidRPr="005A0C0E">
        <w:rPr>
          <w:b/>
          <w:lang w:val="en-US"/>
        </w:rPr>
        <w:t>3</w:t>
      </w:r>
      <w:r w:rsidRPr="005A0C0E">
        <w:rPr>
          <w:b/>
          <w:lang w:val="en-US"/>
        </w:rPr>
        <w:t>. Informal</w:t>
      </w:r>
      <w:r w:rsidR="00033930" w:rsidRPr="005A0C0E">
        <w:rPr>
          <w:b/>
          <w:lang w:val="en-US"/>
        </w:rPr>
        <w:t xml:space="preserve"> financial structures should be appreciated</w:t>
      </w:r>
    </w:p>
    <w:p w:rsidR="009E3E4B" w:rsidRPr="005A0C0E" w:rsidRDefault="00D930CF" w:rsidP="009E3E4B">
      <w:pPr>
        <w:spacing w:line="480" w:lineRule="auto"/>
        <w:rPr>
          <w:lang w:val="en-US"/>
        </w:rPr>
      </w:pPr>
      <w:r w:rsidRPr="005A0C0E">
        <w:rPr>
          <w:lang w:val="en-US"/>
        </w:rPr>
        <w:t>Beisland and Mersland (2012</w:t>
      </w:r>
      <w:r w:rsidR="006D5D0A" w:rsidRPr="005A0C0E">
        <w:rPr>
          <w:lang w:val="en-US"/>
        </w:rPr>
        <w:t>d</w:t>
      </w:r>
      <w:r w:rsidRPr="005A0C0E">
        <w:rPr>
          <w:lang w:val="en-US"/>
        </w:rPr>
        <w:t xml:space="preserve">) </w:t>
      </w:r>
      <w:r w:rsidR="00033930" w:rsidRPr="005A0C0E">
        <w:rPr>
          <w:lang w:val="en-US"/>
        </w:rPr>
        <w:t xml:space="preserve">report that persons with disabilities are often involved in informal savings and credit groups. Disability policy makers are often not familiar with such groups and </w:t>
      </w:r>
      <w:r w:rsidR="00CA5163" w:rsidRPr="005A0C0E">
        <w:rPr>
          <w:lang w:val="en-US"/>
        </w:rPr>
        <w:t>do not</w:t>
      </w:r>
      <w:r w:rsidR="00DA3A14" w:rsidRPr="005A0C0E">
        <w:rPr>
          <w:lang w:val="en-US"/>
        </w:rPr>
        <w:t xml:space="preserve"> sufficiently</w:t>
      </w:r>
      <w:r w:rsidR="00CA5163" w:rsidRPr="005A0C0E">
        <w:rPr>
          <w:lang w:val="en-US"/>
        </w:rPr>
        <w:t xml:space="preserve"> </w:t>
      </w:r>
      <w:r w:rsidR="00033930" w:rsidRPr="005A0C0E">
        <w:rPr>
          <w:lang w:val="en-US"/>
        </w:rPr>
        <w:t xml:space="preserve">appreciate their existence. An interesting effect of the NUDIPU survey was that NUDIPU and their donor Norwegian Association of Disabled decided to design a new project to promote savings and credit groups among persons with disabilities. Initial results from </w:t>
      </w:r>
      <w:r w:rsidR="009E3E4B" w:rsidRPr="005A0C0E">
        <w:rPr>
          <w:lang w:val="en-US"/>
        </w:rPr>
        <w:t xml:space="preserve">this project called “We can manage” indicate that much higher numbers of persons with disabilities than expected are being </w:t>
      </w:r>
      <w:r w:rsidR="00A94680" w:rsidRPr="005A0C0E">
        <w:rPr>
          <w:lang w:val="en-US"/>
        </w:rPr>
        <w:t>mobilized</w:t>
      </w:r>
      <w:r w:rsidR="009E3E4B" w:rsidRPr="005A0C0E">
        <w:rPr>
          <w:lang w:val="en-US"/>
        </w:rPr>
        <w:t xml:space="preserve"> and that the saving capacity is higher than traditionally assumed</w:t>
      </w:r>
      <w:r w:rsidR="00CA5163" w:rsidRPr="005A0C0E">
        <w:rPr>
          <w:lang w:val="en-US"/>
        </w:rPr>
        <w:t>.</w:t>
      </w:r>
      <w:r w:rsidR="009E3E4B" w:rsidRPr="005A0C0E">
        <w:rPr>
          <w:rStyle w:val="Fotnotereferanse"/>
          <w:lang w:val="en-US"/>
        </w:rPr>
        <w:footnoteReference w:id="3"/>
      </w:r>
      <w:r w:rsidR="009E3E4B" w:rsidRPr="005A0C0E">
        <w:rPr>
          <w:lang w:val="en-US"/>
        </w:rPr>
        <w:t xml:space="preserve">  </w:t>
      </w:r>
    </w:p>
    <w:p w:rsidR="009E3E4B" w:rsidRPr="005A0C0E" w:rsidRDefault="009E3E4B" w:rsidP="009E3E4B">
      <w:pPr>
        <w:spacing w:line="480" w:lineRule="auto"/>
        <w:rPr>
          <w:color w:val="221E1F"/>
          <w:lang w:val="en-US"/>
        </w:rPr>
      </w:pPr>
      <w:r w:rsidRPr="005A0C0E">
        <w:rPr>
          <w:color w:val="221E1F"/>
          <w:lang w:val="en-US"/>
        </w:rPr>
        <w:t>For the enhancement of the livelihoods of persons with disabilities</w:t>
      </w:r>
      <w:r w:rsidR="005041E3" w:rsidRPr="005A0C0E">
        <w:rPr>
          <w:color w:val="221E1F"/>
          <w:lang w:val="en-US"/>
        </w:rPr>
        <w:t>,</w:t>
      </w:r>
      <w:r w:rsidRPr="005A0C0E">
        <w:rPr>
          <w:color w:val="221E1F"/>
          <w:lang w:val="en-US"/>
        </w:rPr>
        <w:t xml:space="preserve"> the promotion of savings and credit groups can be of particular importance </w:t>
      </w:r>
      <w:r w:rsidR="005041E3" w:rsidRPr="005A0C0E">
        <w:rPr>
          <w:color w:val="221E1F"/>
          <w:lang w:val="en-US"/>
        </w:rPr>
        <w:t>because</w:t>
      </w:r>
      <w:r w:rsidRPr="005A0C0E">
        <w:rPr>
          <w:color w:val="221E1F"/>
          <w:lang w:val="en-US"/>
        </w:rPr>
        <w:t xml:space="preserve"> these schemes can allow for a more flexible and integrated approach. Compared with MFIs, the savings and credit group methodology can reach poorer target groups and help enhance social</w:t>
      </w:r>
      <w:r w:rsidR="00DD5E08" w:rsidRPr="005A0C0E">
        <w:rPr>
          <w:color w:val="221E1F"/>
          <w:lang w:val="en-US"/>
        </w:rPr>
        <w:t xml:space="preserve"> and human</w:t>
      </w:r>
      <w:r w:rsidRPr="005A0C0E">
        <w:rPr>
          <w:color w:val="221E1F"/>
          <w:lang w:val="en-US"/>
        </w:rPr>
        <w:t xml:space="preserve"> capital (Eggen and Mersland, 2007). </w:t>
      </w:r>
    </w:p>
    <w:p w:rsidR="00DD5E08" w:rsidRPr="005A0C0E" w:rsidRDefault="00DD5E08" w:rsidP="004E05EF">
      <w:pPr>
        <w:spacing w:line="480" w:lineRule="auto"/>
        <w:rPr>
          <w:b/>
          <w:lang w:val="en-US"/>
        </w:rPr>
      </w:pPr>
    </w:p>
    <w:p w:rsidR="00EC6DF9" w:rsidRPr="005A0C0E" w:rsidRDefault="00EC6DF9" w:rsidP="004E05EF">
      <w:pPr>
        <w:spacing w:line="480" w:lineRule="auto"/>
        <w:rPr>
          <w:b/>
          <w:lang w:val="en-US"/>
        </w:rPr>
      </w:pPr>
      <w:r w:rsidRPr="005A0C0E">
        <w:rPr>
          <w:b/>
          <w:lang w:val="en-US"/>
        </w:rPr>
        <w:t>4.</w:t>
      </w:r>
      <w:r w:rsidR="00DD5E08" w:rsidRPr="005A0C0E">
        <w:rPr>
          <w:b/>
          <w:lang w:val="en-US"/>
        </w:rPr>
        <w:t>4.</w:t>
      </w:r>
      <w:r w:rsidRPr="005A0C0E">
        <w:rPr>
          <w:b/>
          <w:lang w:val="en-US"/>
        </w:rPr>
        <w:t xml:space="preserve"> </w:t>
      </w:r>
      <w:r w:rsidR="003A450B" w:rsidRPr="005A0C0E">
        <w:rPr>
          <w:b/>
          <w:lang w:val="en-US"/>
        </w:rPr>
        <w:t xml:space="preserve">Ensuring </w:t>
      </w:r>
      <w:r w:rsidR="001B6C4A" w:rsidRPr="005A0C0E">
        <w:rPr>
          <w:b/>
          <w:lang w:val="en-US"/>
        </w:rPr>
        <w:t>access for persons with disabilities</w:t>
      </w:r>
      <w:r w:rsidR="00FC2B15" w:rsidRPr="005A0C0E">
        <w:rPr>
          <w:b/>
          <w:lang w:val="en-US"/>
        </w:rPr>
        <w:t xml:space="preserve"> in mainstream microfinance institutions</w:t>
      </w:r>
    </w:p>
    <w:p w:rsidR="00EC6DF9" w:rsidRPr="005A0C0E" w:rsidRDefault="009C5EDF" w:rsidP="004E05EF">
      <w:pPr>
        <w:spacing w:line="480" w:lineRule="auto"/>
        <w:rPr>
          <w:lang w:val="en-US"/>
        </w:rPr>
      </w:pPr>
      <w:r w:rsidRPr="005A0C0E">
        <w:rPr>
          <w:lang w:val="en-US"/>
        </w:rPr>
        <w:t xml:space="preserve">In much of the research on microfinance and disability, the importance of incorporating </w:t>
      </w:r>
      <w:r w:rsidR="00B379D9" w:rsidRPr="005A0C0E">
        <w:rPr>
          <w:lang w:val="en-US"/>
        </w:rPr>
        <w:t>persons with disabilities</w:t>
      </w:r>
      <w:r w:rsidRPr="005A0C0E">
        <w:rPr>
          <w:lang w:val="en-US"/>
        </w:rPr>
        <w:t xml:space="preserve"> in </w:t>
      </w:r>
      <w:r w:rsidR="00FC2B15" w:rsidRPr="005A0C0E">
        <w:rPr>
          <w:i/>
          <w:lang w:val="en-US"/>
        </w:rPr>
        <w:t>formal</w:t>
      </w:r>
      <w:r w:rsidRPr="005A0C0E">
        <w:rPr>
          <w:lang w:val="en-US"/>
        </w:rPr>
        <w:t xml:space="preserve"> </w:t>
      </w:r>
      <w:r w:rsidR="00FC2B15" w:rsidRPr="005A0C0E">
        <w:rPr>
          <w:lang w:val="en-US"/>
        </w:rPr>
        <w:t xml:space="preserve">mainstream </w:t>
      </w:r>
      <w:r w:rsidRPr="005A0C0E">
        <w:rPr>
          <w:lang w:val="en-US"/>
        </w:rPr>
        <w:t xml:space="preserve">microfinance </w:t>
      </w:r>
      <w:r w:rsidR="00FC2B15" w:rsidRPr="005A0C0E">
        <w:rPr>
          <w:lang w:val="en-US"/>
        </w:rPr>
        <w:t>institutions</w:t>
      </w:r>
      <w:r w:rsidRPr="005A0C0E">
        <w:rPr>
          <w:lang w:val="en-US"/>
        </w:rPr>
        <w:t xml:space="preserve"> has been </w:t>
      </w:r>
      <w:r w:rsidR="005041E3" w:rsidRPr="005A0C0E">
        <w:rPr>
          <w:lang w:val="en-US"/>
        </w:rPr>
        <w:t>emphasized</w:t>
      </w:r>
      <w:r w:rsidRPr="005A0C0E">
        <w:rPr>
          <w:lang w:val="en-US"/>
        </w:rPr>
        <w:t>. The background of th</w:t>
      </w:r>
      <w:r w:rsidR="005E3D5F" w:rsidRPr="005A0C0E">
        <w:rPr>
          <w:lang w:val="en-US"/>
        </w:rPr>
        <w:t>is</w:t>
      </w:r>
      <w:r w:rsidRPr="005A0C0E">
        <w:rPr>
          <w:lang w:val="en-US"/>
        </w:rPr>
        <w:t xml:space="preserve"> recommendation is that access to microfinance need</w:t>
      </w:r>
      <w:r w:rsidR="005E3D5F" w:rsidRPr="005A0C0E">
        <w:rPr>
          <w:lang w:val="en-US"/>
        </w:rPr>
        <w:t>s</w:t>
      </w:r>
      <w:r w:rsidRPr="005A0C0E">
        <w:rPr>
          <w:lang w:val="en-US"/>
        </w:rPr>
        <w:t xml:space="preserve"> to be permanent and not a one-time </w:t>
      </w:r>
      <w:r w:rsidRPr="005A0C0E">
        <w:rPr>
          <w:lang w:val="en-US"/>
        </w:rPr>
        <w:lastRenderedPageBreak/>
        <w:t>event. The problem with many development efforts and ad-hoc programs is that they are not financial</w:t>
      </w:r>
      <w:r w:rsidR="001B6C4A" w:rsidRPr="005A0C0E">
        <w:rPr>
          <w:lang w:val="en-US"/>
        </w:rPr>
        <w:t>ly</w:t>
      </w:r>
      <w:r w:rsidRPr="005A0C0E">
        <w:rPr>
          <w:lang w:val="en-US"/>
        </w:rPr>
        <w:t xml:space="preserve"> sustainable</w:t>
      </w:r>
      <w:r w:rsidR="001B6C4A" w:rsidRPr="005A0C0E">
        <w:rPr>
          <w:lang w:val="en-US"/>
        </w:rPr>
        <w:t xml:space="preserve"> and tend to disappear after </w:t>
      </w:r>
      <w:r w:rsidR="00992629" w:rsidRPr="005A0C0E">
        <w:rPr>
          <w:lang w:val="en-US"/>
        </w:rPr>
        <w:t xml:space="preserve">a </w:t>
      </w:r>
      <w:r w:rsidR="001B6C4A" w:rsidRPr="005A0C0E">
        <w:rPr>
          <w:lang w:val="en-US"/>
        </w:rPr>
        <w:t>few years</w:t>
      </w:r>
      <w:r w:rsidRPr="005A0C0E">
        <w:rPr>
          <w:lang w:val="en-US"/>
        </w:rPr>
        <w:t xml:space="preserve">. Thus, </w:t>
      </w:r>
      <w:r w:rsidR="004A4878" w:rsidRPr="005A0C0E">
        <w:rPr>
          <w:lang w:val="en-US"/>
        </w:rPr>
        <w:t xml:space="preserve">mainstream </w:t>
      </w:r>
      <w:r w:rsidRPr="005A0C0E">
        <w:rPr>
          <w:lang w:val="en-US"/>
        </w:rPr>
        <w:t>institutions represent the preferred</w:t>
      </w:r>
      <w:r w:rsidR="00C662D8" w:rsidRPr="005A0C0E">
        <w:rPr>
          <w:lang w:val="en-US"/>
        </w:rPr>
        <w:t xml:space="preserve"> alternative</w:t>
      </w:r>
      <w:r w:rsidR="00992629" w:rsidRPr="005A0C0E">
        <w:rPr>
          <w:lang w:val="en-US"/>
        </w:rPr>
        <w:t>,</w:t>
      </w:r>
      <w:r w:rsidR="00FC2B15" w:rsidRPr="005A0C0E">
        <w:rPr>
          <w:lang w:val="en-US"/>
        </w:rPr>
        <w:t xml:space="preserve"> and </w:t>
      </w:r>
      <w:r w:rsidR="00E2695D" w:rsidRPr="005A0C0E">
        <w:rPr>
          <w:lang w:val="en-US"/>
        </w:rPr>
        <w:t xml:space="preserve">we agree with </w:t>
      </w:r>
      <w:r w:rsidR="00D838C2">
        <w:rPr>
          <w:lang w:val="en-US"/>
        </w:rPr>
        <w:t>the</w:t>
      </w:r>
      <w:r w:rsidR="00992629" w:rsidRPr="005A0C0E">
        <w:rPr>
          <w:lang w:val="en-US"/>
        </w:rPr>
        <w:t xml:space="preserve"> </w:t>
      </w:r>
      <w:r w:rsidR="00D838C2" w:rsidRPr="005A0C0E">
        <w:rPr>
          <w:lang w:val="en-US"/>
        </w:rPr>
        <w:t>recommend</w:t>
      </w:r>
      <w:r w:rsidR="00D838C2">
        <w:rPr>
          <w:lang w:val="en-US"/>
        </w:rPr>
        <w:t>ation</w:t>
      </w:r>
      <w:r w:rsidR="00D838C2" w:rsidRPr="005A0C0E">
        <w:rPr>
          <w:lang w:val="en-US"/>
        </w:rPr>
        <w:t xml:space="preserve"> </w:t>
      </w:r>
      <w:r w:rsidR="00FC2B15" w:rsidRPr="005A0C0E">
        <w:rPr>
          <w:lang w:val="en-US"/>
        </w:rPr>
        <w:t>that the provision of credit by non-specialist providers should be discontinued (</w:t>
      </w:r>
      <w:r w:rsidR="00C662D8" w:rsidRPr="005A0C0E">
        <w:rPr>
          <w:lang w:val="en-US"/>
        </w:rPr>
        <w:t>see Handicap International (2006</w:t>
      </w:r>
      <w:r w:rsidRPr="005A0C0E">
        <w:rPr>
          <w:lang w:val="en-US"/>
        </w:rPr>
        <w:t xml:space="preserve">) </w:t>
      </w:r>
      <w:r w:rsidR="001B6C4A" w:rsidRPr="005A0C0E">
        <w:rPr>
          <w:lang w:val="en-US"/>
        </w:rPr>
        <w:t xml:space="preserve">and </w:t>
      </w:r>
      <w:proofErr w:type="spellStart"/>
      <w:r w:rsidR="001B6C4A" w:rsidRPr="005A0C0E">
        <w:rPr>
          <w:lang w:val="en-US"/>
        </w:rPr>
        <w:t>Martinelli</w:t>
      </w:r>
      <w:proofErr w:type="spellEnd"/>
      <w:r w:rsidR="001B6C4A" w:rsidRPr="005A0C0E">
        <w:rPr>
          <w:lang w:val="en-US"/>
        </w:rPr>
        <w:t xml:space="preserve"> and Mersland (2010) </w:t>
      </w:r>
      <w:r w:rsidRPr="005A0C0E">
        <w:rPr>
          <w:lang w:val="en-US"/>
        </w:rPr>
        <w:t>for a more compr</w:t>
      </w:r>
      <w:r w:rsidR="00FC2B15" w:rsidRPr="005A0C0E">
        <w:rPr>
          <w:lang w:val="en-US"/>
        </w:rPr>
        <w:t>ehensive discussion of the preferred types of microfinance providers)</w:t>
      </w:r>
      <w:r w:rsidRPr="005A0C0E">
        <w:rPr>
          <w:lang w:val="en-US"/>
        </w:rPr>
        <w:t xml:space="preserve">. </w:t>
      </w:r>
    </w:p>
    <w:p w:rsidR="003144B4" w:rsidRPr="005A0C0E" w:rsidRDefault="003144B4" w:rsidP="004E05EF">
      <w:pPr>
        <w:spacing w:line="480" w:lineRule="auto"/>
        <w:rPr>
          <w:lang w:val="en-US"/>
        </w:rPr>
      </w:pPr>
    </w:p>
    <w:p w:rsidR="003144B4" w:rsidRPr="005A0C0E" w:rsidRDefault="003144B4" w:rsidP="004E05EF">
      <w:pPr>
        <w:spacing w:line="480" w:lineRule="auto"/>
        <w:rPr>
          <w:b/>
          <w:lang w:val="en-US"/>
        </w:rPr>
      </w:pPr>
      <w:r w:rsidRPr="005A0C0E">
        <w:rPr>
          <w:b/>
          <w:lang w:val="en-US"/>
        </w:rPr>
        <w:t>4.5. The barriers hindering persons with disabilities</w:t>
      </w:r>
      <w:r w:rsidR="00BB071B" w:rsidRPr="005A0C0E">
        <w:rPr>
          <w:b/>
          <w:lang w:val="en-US"/>
        </w:rPr>
        <w:t>’</w:t>
      </w:r>
      <w:r w:rsidRPr="005A0C0E">
        <w:rPr>
          <w:b/>
          <w:lang w:val="en-US"/>
        </w:rPr>
        <w:t xml:space="preserve"> access to microfinance</w:t>
      </w:r>
    </w:p>
    <w:p w:rsidR="00F4681C" w:rsidRPr="005A0C0E" w:rsidRDefault="00470335" w:rsidP="004E05EF">
      <w:pPr>
        <w:spacing w:line="480" w:lineRule="auto"/>
        <w:rPr>
          <w:lang w:val="en-US"/>
        </w:rPr>
      </w:pPr>
      <w:r w:rsidRPr="005A0C0E">
        <w:rPr>
          <w:lang w:val="en-US"/>
        </w:rPr>
        <w:t>Regarding ensuring</w:t>
      </w:r>
      <w:r w:rsidR="00E2695D" w:rsidRPr="005A0C0E">
        <w:rPr>
          <w:lang w:val="en-US"/>
        </w:rPr>
        <w:t xml:space="preserve"> access to mainstream microfinance institutions, t</w:t>
      </w:r>
      <w:r w:rsidR="001B6C4A" w:rsidRPr="005A0C0E">
        <w:rPr>
          <w:lang w:val="en-US"/>
        </w:rPr>
        <w:t xml:space="preserve">he five barriers explained in </w:t>
      </w:r>
      <w:r w:rsidR="000E5037">
        <w:rPr>
          <w:lang w:val="en-US"/>
        </w:rPr>
        <w:t>S</w:t>
      </w:r>
      <w:r w:rsidR="001B6C4A" w:rsidRPr="005A0C0E">
        <w:rPr>
          <w:lang w:val="en-US"/>
        </w:rPr>
        <w:t xml:space="preserve">ection </w:t>
      </w:r>
      <w:r w:rsidR="000E5037">
        <w:rPr>
          <w:lang w:val="en-US"/>
        </w:rPr>
        <w:t>2</w:t>
      </w:r>
      <w:r w:rsidR="001B6C4A" w:rsidRPr="005A0C0E">
        <w:rPr>
          <w:lang w:val="en-US"/>
        </w:rPr>
        <w:t xml:space="preserve"> have </w:t>
      </w:r>
      <w:r w:rsidR="00E2695D" w:rsidRPr="005A0C0E">
        <w:rPr>
          <w:lang w:val="en-US"/>
        </w:rPr>
        <w:t>proved</w:t>
      </w:r>
      <w:r w:rsidR="001B6C4A" w:rsidRPr="005A0C0E">
        <w:rPr>
          <w:lang w:val="en-US"/>
        </w:rPr>
        <w:t xml:space="preserve"> useful for both practitioners and researcher to better understand the mechanisms hindering access </w:t>
      </w:r>
      <w:r w:rsidR="00E2695D" w:rsidRPr="005A0C0E">
        <w:rPr>
          <w:lang w:val="en-US"/>
        </w:rPr>
        <w:t>f</w:t>
      </w:r>
      <w:r w:rsidR="001B6C4A" w:rsidRPr="005A0C0E">
        <w:rPr>
          <w:lang w:val="en-US"/>
        </w:rPr>
        <w:t xml:space="preserve">or persons with disabilities. We thus recommend </w:t>
      </w:r>
      <w:r w:rsidR="00D838C2">
        <w:rPr>
          <w:lang w:val="en-US"/>
        </w:rPr>
        <w:t xml:space="preserve">the </w:t>
      </w:r>
      <w:r w:rsidR="001B6C4A" w:rsidRPr="005A0C0E">
        <w:rPr>
          <w:lang w:val="en-US"/>
        </w:rPr>
        <w:t xml:space="preserve">continued use of this theoretical framework. </w:t>
      </w:r>
    </w:p>
    <w:p w:rsidR="00E2695D" w:rsidRPr="005A0C0E" w:rsidRDefault="00E2695D" w:rsidP="004E05EF">
      <w:pPr>
        <w:spacing w:line="480" w:lineRule="auto"/>
        <w:rPr>
          <w:u w:val="single"/>
          <w:lang w:val="en-US"/>
        </w:rPr>
      </w:pPr>
      <w:r w:rsidRPr="005A0C0E">
        <w:rPr>
          <w:u w:val="single"/>
          <w:lang w:val="en-US"/>
        </w:rPr>
        <w:t>Staff barrier</w:t>
      </w:r>
    </w:p>
    <w:p w:rsidR="008B74B0" w:rsidRPr="005A0C0E" w:rsidRDefault="00680249" w:rsidP="004E05EF">
      <w:pPr>
        <w:spacing w:line="480" w:lineRule="auto"/>
        <w:rPr>
          <w:lang w:val="en-US"/>
        </w:rPr>
      </w:pPr>
      <w:r w:rsidRPr="005A0C0E">
        <w:rPr>
          <w:lang w:val="en-US"/>
        </w:rPr>
        <w:t>To date,</w:t>
      </w:r>
      <w:r w:rsidR="00F4681C" w:rsidRPr="005A0C0E">
        <w:rPr>
          <w:lang w:val="en-US"/>
        </w:rPr>
        <w:t xml:space="preserve"> t</w:t>
      </w:r>
      <w:r w:rsidR="008B74B0" w:rsidRPr="005A0C0E">
        <w:rPr>
          <w:lang w:val="en-US"/>
        </w:rPr>
        <w:t>here has been a considerable focus on the staff barrier in the literature</w:t>
      </w:r>
      <w:r w:rsidRPr="005A0C0E">
        <w:rPr>
          <w:lang w:val="en-US"/>
        </w:rPr>
        <w:t>,</w:t>
      </w:r>
      <w:r w:rsidR="008B74B0" w:rsidRPr="005A0C0E">
        <w:rPr>
          <w:lang w:val="en-US"/>
        </w:rPr>
        <w:t xml:space="preserve"> </w:t>
      </w:r>
      <w:r w:rsidR="00F4681C" w:rsidRPr="005A0C0E">
        <w:rPr>
          <w:lang w:val="en-US"/>
        </w:rPr>
        <w:t>and th</w:t>
      </w:r>
      <w:r w:rsidR="008B74B0" w:rsidRPr="005A0C0E">
        <w:rPr>
          <w:lang w:val="en-US"/>
        </w:rPr>
        <w:t xml:space="preserve">ere </w:t>
      </w:r>
      <w:r w:rsidR="008844BF" w:rsidRPr="005A0C0E">
        <w:rPr>
          <w:lang w:val="en-US"/>
        </w:rPr>
        <w:t xml:space="preserve">appears to be </w:t>
      </w:r>
      <w:r w:rsidR="00D77562" w:rsidRPr="005A0C0E">
        <w:rPr>
          <w:lang w:val="en-US"/>
        </w:rPr>
        <w:t>agreement</w:t>
      </w:r>
      <w:r w:rsidR="008844BF" w:rsidRPr="005A0C0E">
        <w:rPr>
          <w:lang w:val="en-US"/>
        </w:rPr>
        <w:t xml:space="preserve"> that </w:t>
      </w:r>
      <w:r w:rsidR="00D77562" w:rsidRPr="005A0C0E">
        <w:rPr>
          <w:lang w:val="en-US"/>
        </w:rPr>
        <w:t xml:space="preserve">staff </w:t>
      </w:r>
      <w:r w:rsidR="008844BF" w:rsidRPr="005A0C0E">
        <w:rPr>
          <w:lang w:val="en-US"/>
        </w:rPr>
        <w:t xml:space="preserve">prejudice and </w:t>
      </w:r>
      <w:r w:rsidRPr="005A0C0E">
        <w:rPr>
          <w:lang w:val="en-US"/>
        </w:rPr>
        <w:t>stigmatization</w:t>
      </w:r>
      <w:r w:rsidR="008844BF" w:rsidRPr="005A0C0E">
        <w:rPr>
          <w:lang w:val="en-US"/>
        </w:rPr>
        <w:t xml:space="preserve"> is a major explanation </w:t>
      </w:r>
      <w:r w:rsidR="00D77562" w:rsidRPr="005A0C0E">
        <w:rPr>
          <w:lang w:val="en-US"/>
        </w:rPr>
        <w:t xml:space="preserve">for </w:t>
      </w:r>
      <w:r w:rsidR="008844BF" w:rsidRPr="005A0C0E">
        <w:rPr>
          <w:lang w:val="en-US"/>
        </w:rPr>
        <w:t xml:space="preserve">why </w:t>
      </w:r>
      <w:r w:rsidR="001A20A6">
        <w:rPr>
          <w:lang w:val="en-US"/>
        </w:rPr>
        <w:t>persons with</w:t>
      </w:r>
      <w:r w:rsidRPr="005A0C0E">
        <w:rPr>
          <w:lang w:val="en-US"/>
        </w:rPr>
        <w:t xml:space="preserve"> </w:t>
      </w:r>
      <w:r w:rsidR="001A20A6" w:rsidRPr="005A0C0E">
        <w:rPr>
          <w:lang w:val="en-US"/>
        </w:rPr>
        <w:t>disab</w:t>
      </w:r>
      <w:r w:rsidR="001A20A6">
        <w:rPr>
          <w:lang w:val="en-US"/>
        </w:rPr>
        <w:t>ilities</w:t>
      </w:r>
      <w:r w:rsidR="001A20A6" w:rsidRPr="005A0C0E">
        <w:rPr>
          <w:lang w:val="en-US"/>
        </w:rPr>
        <w:t xml:space="preserve"> </w:t>
      </w:r>
      <w:r w:rsidR="008844BF" w:rsidRPr="005A0C0E">
        <w:rPr>
          <w:lang w:val="en-US"/>
        </w:rPr>
        <w:t>often do not access microfinance services</w:t>
      </w:r>
      <w:r w:rsidR="00F4681C" w:rsidRPr="005A0C0E">
        <w:rPr>
          <w:lang w:val="en-US"/>
        </w:rPr>
        <w:t xml:space="preserve"> (</w:t>
      </w:r>
      <w:proofErr w:type="spellStart"/>
      <w:r w:rsidR="00F4681C" w:rsidRPr="005A0C0E">
        <w:rPr>
          <w:lang w:val="en-US"/>
        </w:rPr>
        <w:t>Cramm</w:t>
      </w:r>
      <w:proofErr w:type="spellEnd"/>
      <w:r w:rsidR="00F4681C" w:rsidRPr="005A0C0E">
        <w:rPr>
          <w:lang w:val="en-US"/>
        </w:rPr>
        <w:t xml:space="preserve"> and </w:t>
      </w:r>
      <w:proofErr w:type="spellStart"/>
      <w:r w:rsidR="00F4681C" w:rsidRPr="005A0C0E">
        <w:rPr>
          <w:lang w:val="en-US"/>
        </w:rPr>
        <w:t>Finkenflugel</w:t>
      </w:r>
      <w:proofErr w:type="spellEnd"/>
      <w:r w:rsidR="00F4681C" w:rsidRPr="005A0C0E">
        <w:rPr>
          <w:lang w:val="en-US"/>
        </w:rPr>
        <w:t>, 2008; Labie et al.</w:t>
      </w:r>
      <w:r w:rsidR="00CA5163" w:rsidRPr="005A0C0E">
        <w:rPr>
          <w:lang w:val="en-US"/>
        </w:rPr>
        <w:t>,</w:t>
      </w:r>
      <w:r w:rsidR="00F4681C" w:rsidRPr="005A0C0E">
        <w:rPr>
          <w:lang w:val="en-US"/>
        </w:rPr>
        <w:t xml:space="preserve"> 2010)</w:t>
      </w:r>
      <w:r w:rsidR="008844BF" w:rsidRPr="005A0C0E">
        <w:rPr>
          <w:lang w:val="en-US"/>
        </w:rPr>
        <w:t xml:space="preserve">. </w:t>
      </w:r>
      <w:r w:rsidR="00F4681C" w:rsidRPr="005A0C0E">
        <w:rPr>
          <w:lang w:val="en-US"/>
        </w:rPr>
        <w:t xml:space="preserve">We thus </w:t>
      </w:r>
      <w:r w:rsidR="00AC6221" w:rsidRPr="005A0C0E">
        <w:rPr>
          <w:lang w:val="en-US"/>
        </w:rPr>
        <w:t xml:space="preserve">recommend </w:t>
      </w:r>
      <w:r w:rsidR="001A20A6">
        <w:rPr>
          <w:lang w:val="en-US"/>
        </w:rPr>
        <w:t xml:space="preserve">a </w:t>
      </w:r>
      <w:r w:rsidR="00AC6221" w:rsidRPr="005A0C0E">
        <w:rPr>
          <w:lang w:val="en-US"/>
        </w:rPr>
        <w:t>continued focus on</w:t>
      </w:r>
      <w:r w:rsidR="00F4681C" w:rsidRPr="005A0C0E">
        <w:rPr>
          <w:lang w:val="en-US"/>
        </w:rPr>
        <w:t xml:space="preserve"> training and awareness creation among MFI staff. </w:t>
      </w:r>
      <w:r w:rsidR="006E1D44" w:rsidRPr="005A0C0E">
        <w:rPr>
          <w:lang w:val="en-US"/>
        </w:rPr>
        <w:t>This recommendation also follows directly from</w:t>
      </w:r>
      <w:r w:rsidR="000E5037">
        <w:rPr>
          <w:lang w:val="en-US"/>
        </w:rPr>
        <w:t xml:space="preserve"> the study of</w:t>
      </w:r>
      <w:r w:rsidR="006E1D44" w:rsidRPr="005A0C0E">
        <w:rPr>
          <w:lang w:val="en-US"/>
        </w:rPr>
        <w:t xml:space="preserve"> Beisland and Mersland (2012</w:t>
      </w:r>
      <w:r w:rsidR="002E5874" w:rsidRPr="005A0C0E">
        <w:rPr>
          <w:lang w:val="en-US"/>
        </w:rPr>
        <w:t>b</w:t>
      </w:r>
      <w:r w:rsidR="006E1D44" w:rsidRPr="005A0C0E">
        <w:rPr>
          <w:lang w:val="en-US"/>
        </w:rPr>
        <w:t xml:space="preserve">), in which </w:t>
      </w:r>
      <w:r w:rsidR="00A26488" w:rsidRPr="005A0C0E">
        <w:rPr>
          <w:lang w:val="en-US"/>
        </w:rPr>
        <w:t>the MFI staff strongly believ</w:t>
      </w:r>
      <w:r w:rsidR="001A20A6">
        <w:rPr>
          <w:lang w:val="en-US"/>
        </w:rPr>
        <w:t>ed</w:t>
      </w:r>
      <w:r w:rsidR="00A26488" w:rsidRPr="005A0C0E">
        <w:rPr>
          <w:lang w:val="en-US"/>
        </w:rPr>
        <w:t xml:space="preserve"> that they could easily increase the outreach to clients </w:t>
      </w:r>
      <w:r w:rsidR="001A20A6">
        <w:rPr>
          <w:lang w:val="en-US"/>
        </w:rPr>
        <w:t xml:space="preserve">with </w:t>
      </w:r>
      <w:r w:rsidR="001A20A6" w:rsidRPr="005A0C0E">
        <w:rPr>
          <w:lang w:val="en-US"/>
        </w:rPr>
        <w:t>disab</w:t>
      </w:r>
      <w:r w:rsidR="001A20A6">
        <w:rPr>
          <w:lang w:val="en-US"/>
        </w:rPr>
        <w:t>ilities</w:t>
      </w:r>
      <w:r w:rsidR="001A20A6" w:rsidRPr="005A0C0E">
        <w:rPr>
          <w:lang w:val="en-US"/>
        </w:rPr>
        <w:t xml:space="preserve"> </w:t>
      </w:r>
      <w:r w:rsidR="00A26488" w:rsidRPr="005A0C0E">
        <w:rPr>
          <w:lang w:val="en-US"/>
        </w:rPr>
        <w:t xml:space="preserve">if they were more </w:t>
      </w:r>
      <w:r w:rsidR="00D77562" w:rsidRPr="005A0C0E">
        <w:rPr>
          <w:lang w:val="en-US"/>
        </w:rPr>
        <w:t xml:space="preserve">motivated </w:t>
      </w:r>
      <w:r w:rsidR="00A26488" w:rsidRPr="005A0C0E">
        <w:rPr>
          <w:lang w:val="en-US"/>
        </w:rPr>
        <w:t xml:space="preserve">and </w:t>
      </w:r>
      <w:r w:rsidR="001A20A6">
        <w:rPr>
          <w:lang w:val="en-US"/>
        </w:rPr>
        <w:t>exerted</w:t>
      </w:r>
      <w:r w:rsidR="00A26488" w:rsidRPr="005A0C0E">
        <w:rPr>
          <w:lang w:val="en-US"/>
        </w:rPr>
        <w:t xml:space="preserve"> </w:t>
      </w:r>
      <w:r w:rsidR="001A20A6">
        <w:rPr>
          <w:lang w:val="en-US"/>
        </w:rPr>
        <w:t>increased</w:t>
      </w:r>
      <w:r w:rsidR="001A20A6" w:rsidRPr="005A0C0E">
        <w:rPr>
          <w:lang w:val="en-US"/>
        </w:rPr>
        <w:t xml:space="preserve"> </w:t>
      </w:r>
      <w:r w:rsidR="00A26488" w:rsidRPr="005A0C0E">
        <w:rPr>
          <w:lang w:val="en-US"/>
        </w:rPr>
        <w:t xml:space="preserve">personal efforts. </w:t>
      </w:r>
    </w:p>
    <w:p w:rsidR="008844BF" w:rsidRPr="005A0C0E" w:rsidRDefault="00D77562" w:rsidP="004E05EF">
      <w:pPr>
        <w:spacing w:line="480" w:lineRule="auto"/>
        <w:rPr>
          <w:lang w:val="en-US"/>
        </w:rPr>
      </w:pPr>
      <w:r w:rsidRPr="005A0C0E">
        <w:rPr>
          <w:lang w:val="en-US"/>
        </w:rPr>
        <w:t>Nevertheless</w:t>
      </w:r>
      <w:r w:rsidR="008844BF" w:rsidRPr="005A0C0E">
        <w:rPr>
          <w:lang w:val="en-US"/>
        </w:rPr>
        <w:t xml:space="preserve">, it is important to note that, on a detailed level, there is little or no research on the nature of the discrimination and how it is conducted. </w:t>
      </w:r>
      <w:r w:rsidR="00AC6221" w:rsidRPr="005A0C0E">
        <w:rPr>
          <w:lang w:val="en-US"/>
        </w:rPr>
        <w:t xml:space="preserve">After </w:t>
      </w:r>
      <w:r w:rsidR="008844BF" w:rsidRPr="005A0C0E">
        <w:rPr>
          <w:lang w:val="en-US"/>
        </w:rPr>
        <w:t xml:space="preserve">all, a rejection of a loan application for a </w:t>
      </w:r>
      <w:r w:rsidR="008844BF" w:rsidRPr="005A0C0E">
        <w:rPr>
          <w:lang w:val="en-US"/>
        </w:rPr>
        <w:lastRenderedPageBreak/>
        <w:t>disabled person is not discrimination</w:t>
      </w:r>
      <w:r w:rsidR="00AC6221" w:rsidRPr="005A0C0E">
        <w:rPr>
          <w:lang w:val="en-US"/>
        </w:rPr>
        <w:t xml:space="preserve"> if it is </w:t>
      </w:r>
      <w:r w:rsidR="00312351" w:rsidRPr="005A0C0E">
        <w:rPr>
          <w:lang w:val="en-US"/>
        </w:rPr>
        <w:t>based on</w:t>
      </w:r>
      <w:r w:rsidR="00AC6221" w:rsidRPr="005A0C0E">
        <w:rPr>
          <w:lang w:val="en-US"/>
        </w:rPr>
        <w:t xml:space="preserve"> an analysis demonstrating lack of repayment capacity</w:t>
      </w:r>
      <w:r w:rsidR="008844BF" w:rsidRPr="005A0C0E">
        <w:rPr>
          <w:lang w:val="en-US"/>
        </w:rPr>
        <w:t xml:space="preserve">. </w:t>
      </w:r>
      <w:r w:rsidR="006130AE" w:rsidRPr="005A0C0E">
        <w:rPr>
          <w:lang w:val="en-US"/>
        </w:rPr>
        <w:t>Thus,</w:t>
      </w:r>
      <w:r w:rsidR="00312351" w:rsidRPr="005A0C0E">
        <w:rPr>
          <w:lang w:val="en-US"/>
        </w:rPr>
        <w:t xml:space="preserve"> </w:t>
      </w:r>
      <w:r w:rsidR="006130AE" w:rsidRPr="005A0C0E">
        <w:rPr>
          <w:lang w:val="en-US"/>
        </w:rPr>
        <w:t>to better understand how</w:t>
      </w:r>
      <w:r w:rsidR="00FA5076" w:rsidRPr="005A0C0E">
        <w:rPr>
          <w:lang w:val="en-US"/>
        </w:rPr>
        <w:t>, when</w:t>
      </w:r>
      <w:r w:rsidR="006130AE" w:rsidRPr="005A0C0E">
        <w:rPr>
          <w:lang w:val="en-US"/>
        </w:rPr>
        <w:t xml:space="preserve"> and why discrimination occurs, future research should </w:t>
      </w:r>
      <w:r w:rsidR="00FA5076" w:rsidRPr="005A0C0E">
        <w:rPr>
          <w:lang w:val="en-US"/>
        </w:rPr>
        <w:t xml:space="preserve">continue </w:t>
      </w:r>
      <w:r w:rsidR="006130AE" w:rsidRPr="005A0C0E">
        <w:rPr>
          <w:lang w:val="en-US"/>
        </w:rPr>
        <w:t>focus</w:t>
      </w:r>
      <w:r w:rsidR="00FA5076" w:rsidRPr="005A0C0E">
        <w:rPr>
          <w:lang w:val="en-US"/>
        </w:rPr>
        <w:t xml:space="preserve">ing on </w:t>
      </w:r>
      <w:r w:rsidR="005E6B3E" w:rsidRPr="005A0C0E">
        <w:rPr>
          <w:lang w:val="en-US"/>
        </w:rPr>
        <w:t>barrier</w:t>
      </w:r>
      <w:r w:rsidR="005E6B3E">
        <w:rPr>
          <w:lang w:val="en-US"/>
        </w:rPr>
        <w:t>s at</w:t>
      </w:r>
      <w:r w:rsidR="005E6B3E" w:rsidRPr="005A0C0E">
        <w:rPr>
          <w:lang w:val="en-US"/>
        </w:rPr>
        <w:t xml:space="preserve"> </w:t>
      </w:r>
      <w:r w:rsidR="00FA5076" w:rsidRPr="005A0C0E">
        <w:rPr>
          <w:lang w:val="en-US"/>
        </w:rPr>
        <w:t>the staff</w:t>
      </w:r>
      <w:r w:rsidR="005E6B3E">
        <w:rPr>
          <w:lang w:val="en-US"/>
        </w:rPr>
        <w:t xml:space="preserve"> level of microfinance</w:t>
      </w:r>
      <w:r w:rsidR="00FA5076" w:rsidRPr="005A0C0E">
        <w:rPr>
          <w:lang w:val="en-US"/>
        </w:rPr>
        <w:t xml:space="preserve">. </w:t>
      </w:r>
      <w:r w:rsidR="006130AE" w:rsidRPr="005A0C0E">
        <w:rPr>
          <w:lang w:val="en-US"/>
        </w:rPr>
        <w:t xml:space="preserve"> </w:t>
      </w:r>
    </w:p>
    <w:p w:rsidR="00E2695D" w:rsidRPr="005A0C0E" w:rsidRDefault="00E2695D" w:rsidP="00FC2B15">
      <w:pPr>
        <w:spacing w:line="480" w:lineRule="auto"/>
        <w:rPr>
          <w:u w:val="single"/>
          <w:lang w:val="en-US"/>
        </w:rPr>
      </w:pPr>
      <w:r w:rsidRPr="005A0C0E">
        <w:rPr>
          <w:u w:val="single"/>
          <w:lang w:val="en-US"/>
        </w:rPr>
        <w:t>Credit and service design</w:t>
      </w:r>
      <w:r w:rsidR="00D14B78" w:rsidRPr="005A0C0E">
        <w:rPr>
          <w:u w:val="single"/>
          <w:lang w:val="en-US"/>
        </w:rPr>
        <w:t xml:space="preserve"> barrier</w:t>
      </w:r>
    </w:p>
    <w:p w:rsidR="00FC2B15" w:rsidRPr="005A0C0E" w:rsidRDefault="00FC2B15" w:rsidP="00FC2B15">
      <w:pPr>
        <w:spacing w:line="480" w:lineRule="auto"/>
        <w:rPr>
          <w:lang w:val="en-US"/>
        </w:rPr>
      </w:pPr>
      <w:r w:rsidRPr="005A0C0E">
        <w:rPr>
          <w:lang w:val="en-US"/>
        </w:rPr>
        <w:t xml:space="preserve">Exclusion by credit design typically </w:t>
      </w:r>
      <w:r w:rsidR="00675339" w:rsidRPr="005A0C0E">
        <w:rPr>
          <w:lang w:val="en-US"/>
        </w:rPr>
        <w:t xml:space="preserve">has </w:t>
      </w:r>
      <w:r w:rsidRPr="005A0C0E">
        <w:rPr>
          <w:lang w:val="en-US"/>
        </w:rPr>
        <w:t xml:space="preserve">not been </w:t>
      </w:r>
      <w:r w:rsidR="00312351" w:rsidRPr="005A0C0E">
        <w:rPr>
          <w:lang w:val="en-US"/>
        </w:rPr>
        <w:t xml:space="preserve">a frequently discussed </w:t>
      </w:r>
      <w:r w:rsidRPr="005A0C0E">
        <w:rPr>
          <w:lang w:val="en-US"/>
        </w:rPr>
        <w:t xml:space="preserve">barrier in prior research. </w:t>
      </w:r>
      <w:r w:rsidR="00675339" w:rsidRPr="005A0C0E">
        <w:rPr>
          <w:lang w:val="en-US"/>
        </w:rPr>
        <w:t>Nevertheless</w:t>
      </w:r>
      <w:r w:rsidRPr="005A0C0E">
        <w:rPr>
          <w:lang w:val="en-US"/>
        </w:rPr>
        <w:t>, Beisland and Mersland (2012a) find that the disabled themselves consider this barrier to be the far most important</w:t>
      </w:r>
      <w:r w:rsidR="00675339" w:rsidRPr="005A0C0E">
        <w:rPr>
          <w:lang w:val="en-US"/>
        </w:rPr>
        <w:t xml:space="preserve"> barrier</w:t>
      </w:r>
      <w:r w:rsidRPr="005A0C0E">
        <w:rPr>
          <w:lang w:val="en-US"/>
        </w:rPr>
        <w:t xml:space="preserve">; almost half of the sample fears that the loan conditions may not suit their needs.  A weakness of the study is that it does not disentangle the interest rate level from other loan conditions. </w:t>
      </w:r>
      <w:r w:rsidR="00675339" w:rsidRPr="005A0C0E">
        <w:rPr>
          <w:lang w:val="en-US"/>
        </w:rPr>
        <w:t>Nevertheless</w:t>
      </w:r>
      <w:r w:rsidRPr="005A0C0E">
        <w:rPr>
          <w:lang w:val="en-US"/>
        </w:rPr>
        <w:t xml:space="preserve">, considering the fact that two thirds of the respondents state that they are willing to pay the same interest rates as </w:t>
      </w:r>
      <w:r w:rsidR="005E6B3E">
        <w:rPr>
          <w:lang w:val="en-US"/>
        </w:rPr>
        <w:t>non-disabled</w:t>
      </w:r>
      <w:r w:rsidRPr="005A0C0E">
        <w:rPr>
          <w:lang w:val="en-US"/>
        </w:rPr>
        <w:t xml:space="preserve"> clients, there is reason to believe that other loan conditions play an important role. </w:t>
      </w:r>
    </w:p>
    <w:p w:rsidR="00EB04E5" w:rsidRPr="005A0C0E" w:rsidRDefault="001E76EB" w:rsidP="00EB04E5">
      <w:pPr>
        <w:spacing w:line="480" w:lineRule="auto"/>
        <w:rPr>
          <w:lang w:val="en-US"/>
        </w:rPr>
      </w:pPr>
      <w:r w:rsidRPr="005A0C0E">
        <w:rPr>
          <w:lang w:val="en-US"/>
        </w:rPr>
        <w:t>As</w:t>
      </w:r>
      <w:r w:rsidR="00EB04E5" w:rsidRPr="005A0C0E">
        <w:rPr>
          <w:lang w:val="en-US"/>
        </w:rPr>
        <w:t xml:space="preserve"> noted by Beisland and Mersland (2012a), </w:t>
      </w:r>
      <w:r w:rsidR="005E6B3E" w:rsidRPr="005A0C0E">
        <w:rPr>
          <w:lang w:val="en-US"/>
        </w:rPr>
        <w:t>un</w:t>
      </w:r>
      <w:r w:rsidR="005E6B3E">
        <w:rPr>
          <w:lang w:val="en-US"/>
        </w:rPr>
        <w:t>favorable</w:t>
      </w:r>
      <w:r w:rsidR="005E6B3E" w:rsidRPr="005A0C0E">
        <w:rPr>
          <w:lang w:val="en-US"/>
        </w:rPr>
        <w:t xml:space="preserve"> </w:t>
      </w:r>
      <w:r w:rsidR="00EB04E5" w:rsidRPr="005A0C0E">
        <w:rPr>
          <w:lang w:val="en-US"/>
        </w:rPr>
        <w:t>credit design is a general problem in the microfinance industry</w:t>
      </w:r>
      <w:r w:rsidR="00372A12" w:rsidRPr="005A0C0E">
        <w:rPr>
          <w:lang w:val="en-US"/>
        </w:rPr>
        <w:t>,</w:t>
      </w:r>
      <w:r w:rsidR="00EB04E5" w:rsidRPr="005A0C0E">
        <w:rPr>
          <w:lang w:val="en-US"/>
        </w:rPr>
        <w:t xml:space="preserve"> and design improvements could potentially benefit all customers. Thus, a useful recommendation may be to adapt products to serve the need</w:t>
      </w:r>
      <w:r w:rsidR="00730DE1" w:rsidRPr="005A0C0E">
        <w:rPr>
          <w:lang w:val="en-US"/>
        </w:rPr>
        <w:t>s</w:t>
      </w:r>
      <w:r w:rsidR="00EB04E5" w:rsidRPr="005A0C0E">
        <w:rPr>
          <w:lang w:val="en-US"/>
        </w:rPr>
        <w:t xml:space="preserve"> of persons with disabilities because this </w:t>
      </w:r>
      <w:r w:rsidR="00730DE1" w:rsidRPr="005A0C0E">
        <w:rPr>
          <w:lang w:val="en-US"/>
        </w:rPr>
        <w:t xml:space="preserve">adaptation </w:t>
      </w:r>
      <w:r w:rsidR="00EB04E5" w:rsidRPr="005A0C0E">
        <w:rPr>
          <w:lang w:val="en-US"/>
        </w:rPr>
        <w:t xml:space="preserve">would often be a test to </w:t>
      </w:r>
      <w:r w:rsidR="003A450B" w:rsidRPr="005A0C0E">
        <w:rPr>
          <w:lang w:val="en-US"/>
        </w:rPr>
        <w:t xml:space="preserve">ensure </w:t>
      </w:r>
      <w:r w:rsidR="00EB04E5" w:rsidRPr="005A0C0E">
        <w:rPr>
          <w:lang w:val="en-US"/>
        </w:rPr>
        <w:t xml:space="preserve">that the product would be friendly for </w:t>
      </w:r>
      <w:r w:rsidR="00EB04E5" w:rsidRPr="005A0C0E">
        <w:rPr>
          <w:i/>
          <w:lang w:val="en-US"/>
        </w:rPr>
        <w:t>all</w:t>
      </w:r>
      <w:r w:rsidR="00EB04E5" w:rsidRPr="005A0C0E">
        <w:rPr>
          <w:lang w:val="en-US"/>
        </w:rPr>
        <w:t xml:space="preserve"> customers. For instance, less frequent repayment</w:t>
      </w:r>
      <w:r w:rsidR="00B67897" w:rsidRPr="005A0C0E">
        <w:rPr>
          <w:lang w:val="en-US"/>
        </w:rPr>
        <w:t>s</w:t>
      </w:r>
      <w:r w:rsidR="00EB04E5" w:rsidRPr="005A0C0E">
        <w:rPr>
          <w:lang w:val="en-US"/>
        </w:rPr>
        <w:t xml:space="preserve"> could be beneficial for all persons living in remote areas</w:t>
      </w:r>
      <w:r w:rsidR="001576FB" w:rsidRPr="005A0C0E">
        <w:rPr>
          <w:lang w:val="en-US"/>
        </w:rPr>
        <w:t xml:space="preserve">, not </w:t>
      </w:r>
      <w:r w:rsidR="00B67897" w:rsidRPr="005A0C0E">
        <w:rPr>
          <w:lang w:val="en-US"/>
        </w:rPr>
        <w:t>only</w:t>
      </w:r>
      <w:r w:rsidR="001576FB" w:rsidRPr="005A0C0E">
        <w:rPr>
          <w:lang w:val="en-US"/>
        </w:rPr>
        <w:t xml:space="preserve"> those with disabilities</w:t>
      </w:r>
      <w:r w:rsidR="00EB04E5" w:rsidRPr="005A0C0E">
        <w:rPr>
          <w:lang w:val="en-US"/>
        </w:rPr>
        <w:t xml:space="preserve">. </w:t>
      </w:r>
    </w:p>
    <w:p w:rsidR="00CB3F7C" w:rsidRPr="005A0C0E" w:rsidRDefault="00E2695D" w:rsidP="00FC2B15">
      <w:pPr>
        <w:spacing w:line="480" w:lineRule="auto"/>
        <w:rPr>
          <w:lang w:val="en-US"/>
        </w:rPr>
      </w:pPr>
      <w:r w:rsidRPr="005A0C0E">
        <w:rPr>
          <w:lang w:val="en-US"/>
        </w:rPr>
        <w:t xml:space="preserve">The problem </w:t>
      </w:r>
      <w:r w:rsidR="0051579E" w:rsidRPr="005A0C0E">
        <w:rPr>
          <w:lang w:val="en-US"/>
        </w:rPr>
        <w:t>regarding</w:t>
      </w:r>
      <w:r w:rsidRPr="005A0C0E">
        <w:rPr>
          <w:lang w:val="en-US"/>
        </w:rPr>
        <w:t xml:space="preserve"> credit and service design is that we know little about what are the design issues that are particularly troublesome for persons with disabilities. Generally</w:t>
      </w:r>
      <w:r w:rsidR="0040106E" w:rsidRPr="005A0C0E">
        <w:rPr>
          <w:lang w:val="en-US"/>
        </w:rPr>
        <w:t>,</w:t>
      </w:r>
      <w:r w:rsidRPr="005A0C0E">
        <w:rPr>
          <w:lang w:val="en-US"/>
        </w:rPr>
        <w:t xml:space="preserve"> MFI</w:t>
      </w:r>
      <w:r w:rsidR="00CA5163" w:rsidRPr="005A0C0E">
        <w:rPr>
          <w:lang w:val="en-US"/>
        </w:rPr>
        <w:t>s</w:t>
      </w:r>
      <w:r w:rsidRPr="005A0C0E">
        <w:rPr>
          <w:lang w:val="en-US"/>
        </w:rPr>
        <w:t xml:space="preserve"> struggle in designing customer</w:t>
      </w:r>
      <w:r w:rsidR="0040106E" w:rsidRPr="005A0C0E">
        <w:rPr>
          <w:lang w:val="en-US"/>
        </w:rPr>
        <w:t>-</w:t>
      </w:r>
      <w:r w:rsidRPr="005A0C0E">
        <w:rPr>
          <w:lang w:val="en-US"/>
        </w:rPr>
        <w:t>friendly products</w:t>
      </w:r>
      <w:r w:rsidR="00FC3122" w:rsidRPr="005A0C0E">
        <w:rPr>
          <w:lang w:val="en-US"/>
        </w:rPr>
        <w:t>; thus, we do not know</w:t>
      </w:r>
      <w:r w:rsidRPr="005A0C0E">
        <w:rPr>
          <w:lang w:val="en-US"/>
        </w:rPr>
        <w:t xml:space="preserve"> whether customers with disabilities are less satisfied tha</w:t>
      </w:r>
      <w:r w:rsidR="00EB04E5" w:rsidRPr="005A0C0E">
        <w:rPr>
          <w:lang w:val="en-US"/>
        </w:rPr>
        <w:t>n</w:t>
      </w:r>
      <w:r w:rsidRPr="005A0C0E">
        <w:rPr>
          <w:lang w:val="en-US"/>
        </w:rPr>
        <w:t xml:space="preserve"> other customers. Another challenge is related to the heterogeneity with</w:t>
      </w:r>
      <w:r w:rsidR="00CA5163" w:rsidRPr="005A0C0E">
        <w:rPr>
          <w:lang w:val="en-US"/>
        </w:rPr>
        <w:t>in</w:t>
      </w:r>
      <w:r w:rsidRPr="005A0C0E">
        <w:rPr>
          <w:lang w:val="en-US"/>
        </w:rPr>
        <w:t xml:space="preserve"> the disability group. The needs of persons with hearing impairments differ greatly from those with </w:t>
      </w:r>
      <w:r w:rsidR="00DA19BB" w:rsidRPr="005A0C0E">
        <w:rPr>
          <w:lang w:val="en-US"/>
        </w:rPr>
        <w:t xml:space="preserve">mental health </w:t>
      </w:r>
      <w:r w:rsidRPr="005A0C0E">
        <w:rPr>
          <w:lang w:val="en-US"/>
        </w:rPr>
        <w:t xml:space="preserve">impairments. Thus, designing special microfinance products for </w:t>
      </w:r>
      <w:r w:rsidR="00CA5163" w:rsidRPr="005A0C0E">
        <w:rPr>
          <w:lang w:val="en-US"/>
        </w:rPr>
        <w:t xml:space="preserve">all </w:t>
      </w:r>
      <w:r w:rsidRPr="005A0C0E">
        <w:rPr>
          <w:lang w:val="en-US"/>
        </w:rPr>
        <w:t xml:space="preserve">customers with </w:t>
      </w:r>
      <w:r w:rsidRPr="005A0C0E">
        <w:rPr>
          <w:lang w:val="en-US"/>
        </w:rPr>
        <w:lastRenderedPageBreak/>
        <w:t xml:space="preserve">disabilities </w:t>
      </w:r>
      <w:r w:rsidR="00DA19BB" w:rsidRPr="005A0C0E">
        <w:rPr>
          <w:lang w:val="en-US"/>
        </w:rPr>
        <w:t xml:space="preserve">could </w:t>
      </w:r>
      <w:r w:rsidR="005E6B3E">
        <w:rPr>
          <w:lang w:val="en-US"/>
        </w:rPr>
        <w:t>lead to</w:t>
      </w:r>
      <w:r w:rsidR="005E6B3E" w:rsidRPr="005A0C0E">
        <w:rPr>
          <w:lang w:val="en-US"/>
        </w:rPr>
        <w:t xml:space="preserve"> </w:t>
      </w:r>
      <w:r w:rsidR="00DA19BB" w:rsidRPr="005A0C0E">
        <w:rPr>
          <w:lang w:val="en-US"/>
        </w:rPr>
        <w:t>many different types of products</w:t>
      </w:r>
      <w:r w:rsidRPr="005A0C0E">
        <w:rPr>
          <w:lang w:val="en-US"/>
        </w:rPr>
        <w:t xml:space="preserve">. </w:t>
      </w:r>
      <w:r w:rsidR="00CA5163" w:rsidRPr="005A0C0E">
        <w:rPr>
          <w:lang w:val="en-US"/>
        </w:rPr>
        <w:t>However,</w:t>
      </w:r>
      <w:r w:rsidRPr="005A0C0E">
        <w:rPr>
          <w:lang w:val="en-US"/>
        </w:rPr>
        <w:t xml:space="preserve"> </w:t>
      </w:r>
      <w:proofErr w:type="spellStart"/>
      <w:r w:rsidRPr="005A0C0E">
        <w:rPr>
          <w:lang w:val="en-US"/>
        </w:rPr>
        <w:t>Banco</w:t>
      </w:r>
      <w:proofErr w:type="spellEnd"/>
      <w:r w:rsidRPr="005A0C0E">
        <w:rPr>
          <w:lang w:val="en-US"/>
        </w:rPr>
        <w:t xml:space="preserve"> D-MIRO in Ecuador</w:t>
      </w:r>
      <w:r w:rsidR="00CA5163" w:rsidRPr="005A0C0E">
        <w:rPr>
          <w:lang w:val="en-US"/>
        </w:rPr>
        <w:t xml:space="preserve"> experienced that </w:t>
      </w:r>
      <w:r w:rsidR="005E6B3E" w:rsidRPr="005A0C0E">
        <w:rPr>
          <w:lang w:val="en-US"/>
        </w:rPr>
        <w:t>th</w:t>
      </w:r>
      <w:r w:rsidR="005E6B3E">
        <w:rPr>
          <w:lang w:val="en-US"/>
        </w:rPr>
        <w:t>ese adaptations are</w:t>
      </w:r>
      <w:r w:rsidR="00CA5163" w:rsidRPr="005A0C0E">
        <w:rPr>
          <w:lang w:val="en-US"/>
        </w:rPr>
        <w:t xml:space="preserve"> not necessarily required to increase the outreach to persons with disabilities</w:t>
      </w:r>
      <w:r w:rsidRPr="005A0C0E">
        <w:rPr>
          <w:lang w:val="en-US"/>
        </w:rPr>
        <w:t>. In this bank</w:t>
      </w:r>
      <w:r w:rsidR="006F2207" w:rsidRPr="005A0C0E">
        <w:rPr>
          <w:lang w:val="en-US"/>
        </w:rPr>
        <w:t>,</w:t>
      </w:r>
      <w:r w:rsidRPr="005A0C0E">
        <w:rPr>
          <w:lang w:val="en-US"/>
        </w:rPr>
        <w:t xml:space="preserve"> they decided to </w:t>
      </w:r>
      <w:r w:rsidR="00CB3F7C" w:rsidRPr="005A0C0E">
        <w:rPr>
          <w:lang w:val="en-US"/>
        </w:rPr>
        <w:t>specifically</w:t>
      </w:r>
      <w:r w:rsidRPr="005A0C0E">
        <w:rPr>
          <w:lang w:val="en-US"/>
        </w:rPr>
        <w:t xml:space="preserve"> target the disability segment and </w:t>
      </w:r>
      <w:r w:rsidR="00CB3F7C" w:rsidRPr="005A0C0E">
        <w:rPr>
          <w:lang w:val="en-US"/>
        </w:rPr>
        <w:t>started</w:t>
      </w:r>
      <w:r w:rsidRPr="005A0C0E">
        <w:rPr>
          <w:lang w:val="en-US"/>
        </w:rPr>
        <w:t xml:space="preserve"> with </w:t>
      </w:r>
      <w:r w:rsidR="00CB3F7C" w:rsidRPr="005A0C0E">
        <w:rPr>
          <w:lang w:val="en-US"/>
        </w:rPr>
        <w:t xml:space="preserve">sensitivity training for their staff together with </w:t>
      </w:r>
      <w:r w:rsidRPr="005A0C0E">
        <w:rPr>
          <w:lang w:val="en-US"/>
        </w:rPr>
        <w:t>targeted marketing efforts</w:t>
      </w:r>
      <w:r w:rsidR="00CA5163" w:rsidRPr="005A0C0E">
        <w:rPr>
          <w:lang w:val="en-US"/>
        </w:rPr>
        <w:t>,</w:t>
      </w:r>
      <w:r w:rsidRPr="005A0C0E">
        <w:rPr>
          <w:lang w:val="en-US"/>
        </w:rPr>
        <w:t xml:space="preserve"> including</w:t>
      </w:r>
      <w:r w:rsidR="00CB3F7C" w:rsidRPr="005A0C0E">
        <w:rPr>
          <w:lang w:val="en-US"/>
        </w:rPr>
        <w:t xml:space="preserve"> partnering with local DPOs. Customers with disabilities were offered exactly the same products as other customers. Within </w:t>
      </w:r>
      <w:r w:rsidR="005E6B3E">
        <w:rPr>
          <w:lang w:val="en-US"/>
        </w:rPr>
        <w:t>one</w:t>
      </w:r>
      <w:r w:rsidR="005E6B3E" w:rsidRPr="005A0C0E">
        <w:rPr>
          <w:lang w:val="en-US"/>
        </w:rPr>
        <w:t xml:space="preserve"> </w:t>
      </w:r>
      <w:r w:rsidR="00CB3F7C" w:rsidRPr="005A0C0E">
        <w:rPr>
          <w:lang w:val="en-US"/>
        </w:rPr>
        <w:t>year</w:t>
      </w:r>
      <w:r w:rsidR="006F2207" w:rsidRPr="005A0C0E">
        <w:rPr>
          <w:lang w:val="en-US"/>
        </w:rPr>
        <w:t>,</w:t>
      </w:r>
      <w:r w:rsidR="00CB3F7C" w:rsidRPr="005A0C0E">
        <w:rPr>
          <w:lang w:val="en-US"/>
        </w:rPr>
        <w:t xml:space="preserve"> the number of customers with disabilities tripled.</w:t>
      </w:r>
      <w:r w:rsidR="003144B4" w:rsidRPr="005A0C0E">
        <w:rPr>
          <w:lang w:val="en-US"/>
        </w:rPr>
        <w:t xml:space="preserve"> </w:t>
      </w:r>
      <w:proofErr w:type="spellStart"/>
      <w:r w:rsidR="003144B4" w:rsidRPr="005A0C0E">
        <w:rPr>
          <w:lang w:val="en-US"/>
        </w:rPr>
        <w:t>Banco</w:t>
      </w:r>
      <w:proofErr w:type="spellEnd"/>
      <w:r w:rsidR="003144B4" w:rsidRPr="005A0C0E">
        <w:rPr>
          <w:lang w:val="en-US"/>
        </w:rPr>
        <w:t xml:space="preserve"> D-MIRO also found that </w:t>
      </w:r>
      <w:r w:rsidR="00CA5163" w:rsidRPr="005A0C0E">
        <w:rPr>
          <w:lang w:val="en-US"/>
        </w:rPr>
        <w:t xml:space="preserve">using existing </w:t>
      </w:r>
      <w:r w:rsidR="003144B4" w:rsidRPr="005A0C0E">
        <w:rPr>
          <w:lang w:val="en-US"/>
        </w:rPr>
        <w:t xml:space="preserve">customers with disabilities </w:t>
      </w:r>
      <w:r w:rsidR="00CA5163" w:rsidRPr="005A0C0E">
        <w:rPr>
          <w:lang w:val="en-US"/>
        </w:rPr>
        <w:t xml:space="preserve">to reach </w:t>
      </w:r>
      <w:r w:rsidR="003144B4" w:rsidRPr="005A0C0E">
        <w:rPr>
          <w:lang w:val="en-US"/>
        </w:rPr>
        <w:t>potential</w:t>
      </w:r>
      <w:r w:rsidR="00CA5163" w:rsidRPr="005A0C0E">
        <w:rPr>
          <w:lang w:val="en-US"/>
        </w:rPr>
        <w:t>ly</w:t>
      </w:r>
      <w:r w:rsidR="003144B4" w:rsidRPr="005A0C0E">
        <w:rPr>
          <w:lang w:val="en-US"/>
        </w:rPr>
        <w:t xml:space="preserve"> new customers with disabilities was one of the most efficient marketing channel</w:t>
      </w:r>
      <w:r w:rsidR="00CA5163" w:rsidRPr="005A0C0E">
        <w:rPr>
          <w:lang w:val="en-US"/>
        </w:rPr>
        <w:t>s</w:t>
      </w:r>
      <w:r w:rsidR="003144B4" w:rsidRPr="005A0C0E">
        <w:rPr>
          <w:lang w:val="en-US"/>
        </w:rPr>
        <w:t>.</w:t>
      </w:r>
      <w:r w:rsidR="00CB3F7C" w:rsidRPr="005A0C0E">
        <w:rPr>
          <w:rStyle w:val="Fotnotereferanse"/>
          <w:lang w:val="en-US"/>
        </w:rPr>
        <w:footnoteReference w:id="4"/>
      </w:r>
      <w:r w:rsidR="00CB3F7C" w:rsidRPr="005A0C0E">
        <w:rPr>
          <w:lang w:val="en-US"/>
        </w:rPr>
        <w:t xml:space="preserve"> </w:t>
      </w:r>
      <w:r w:rsidRPr="005A0C0E">
        <w:rPr>
          <w:lang w:val="en-US"/>
        </w:rPr>
        <w:t xml:space="preserve">  </w:t>
      </w:r>
    </w:p>
    <w:p w:rsidR="00D14B78" w:rsidRPr="005A0C0E" w:rsidRDefault="00D14B78" w:rsidP="00D14B78">
      <w:pPr>
        <w:spacing w:line="480" w:lineRule="auto"/>
        <w:rPr>
          <w:lang w:val="en-US"/>
        </w:rPr>
      </w:pPr>
      <w:r w:rsidRPr="005A0C0E">
        <w:rPr>
          <w:lang w:val="en-US"/>
        </w:rPr>
        <w:t xml:space="preserve">Many people, </w:t>
      </w:r>
      <w:r w:rsidR="006F2207" w:rsidRPr="005A0C0E">
        <w:rPr>
          <w:lang w:val="en-US"/>
        </w:rPr>
        <w:t>including the</w:t>
      </w:r>
      <w:r w:rsidRPr="005A0C0E">
        <w:rPr>
          <w:lang w:val="en-US"/>
        </w:rPr>
        <w:t xml:space="preserve"> staff (Beisland and Mersland, 2012b)</w:t>
      </w:r>
      <w:r w:rsidR="006F2207" w:rsidRPr="005A0C0E">
        <w:rPr>
          <w:lang w:val="en-US"/>
        </w:rPr>
        <w:t>,</w:t>
      </w:r>
      <w:r w:rsidRPr="005A0C0E">
        <w:rPr>
          <w:lang w:val="en-US"/>
        </w:rPr>
        <w:t xml:space="preserve"> </w:t>
      </w:r>
      <w:r w:rsidR="006F2207" w:rsidRPr="005A0C0E">
        <w:rPr>
          <w:lang w:val="en-US"/>
        </w:rPr>
        <w:t xml:space="preserve">appear </w:t>
      </w:r>
      <w:r w:rsidRPr="005A0C0E">
        <w:rPr>
          <w:lang w:val="en-US"/>
        </w:rPr>
        <w:t xml:space="preserve">to believe that persons with disabilities need more favorable loan conditions than others. There is also evidence to suggest that some persons with disabilities expect better conditions (Beisland and Mersland, 2012a). However, whether better conditions would influence </w:t>
      </w:r>
      <w:r w:rsidR="004A3A21" w:rsidRPr="005A0C0E">
        <w:rPr>
          <w:lang w:val="en-US"/>
        </w:rPr>
        <w:t xml:space="preserve">the </w:t>
      </w:r>
      <w:r w:rsidRPr="005A0C0E">
        <w:rPr>
          <w:lang w:val="en-US"/>
        </w:rPr>
        <w:t xml:space="preserve">supply of or demand for microfinance is an unsolved </w:t>
      </w:r>
      <w:r w:rsidR="004A3A21" w:rsidRPr="005A0C0E">
        <w:rPr>
          <w:lang w:val="en-US"/>
        </w:rPr>
        <w:t>issue</w:t>
      </w:r>
      <w:r w:rsidRPr="005A0C0E">
        <w:rPr>
          <w:lang w:val="en-US"/>
        </w:rPr>
        <w:t xml:space="preserve">. </w:t>
      </w:r>
    </w:p>
    <w:p w:rsidR="00872C0F" w:rsidRPr="005A0C0E" w:rsidRDefault="00D14B78" w:rsidP="00FC2B15">
      <w:pPr>
        <w:spacing w:line="480" w:lineRule="auto"/>
        <w:rPr>
          <w:u w:val="single"/>
          <w:lang w:val="en-US"/>
        </w:rPr>
      </w:pPr>
      <w:r w:rsidRPr="005A0C0E">
        <w:rPr>
          <w:u w:val="single"/>
          <w:lang w:val="en-US"/>
        </w:rPr>
        <w:t>Other group members</w:t>
      </w:r>
    </w:p>
    <w:p w:rsidR="00FC2B15" w:rsidRPr="005A0C0E" w:rsidRDefault="00B22EB1" w:rsidP="00FC2B15">
      <w:pPr>
        <w:spacing w:line="480" w:lineRule="auto"/>
        <w:rPr>
          <w:lang w:val="en-US"/>
        </w:rPr>
      </w:pPr>
      <w:r w:rsidRPr="005A0C0E">
        <w:rPr>
          <w:lang w:val="en-US"/>
        </w:rPr>
        <w:t xml:space="preserve">It is difficult to </w:t>
      </w:r>
      <w:r w:rsidR="007E005F" w:rsidRPr="005A0C0E">
        <w:rPr>
          <w:lang w:val="en-US"/>
        </w:rPr>
        <w:t xml:space="preserve">address </w:t>
      </w:r>
      <w:r w:rsidRPr="005A0C0E">
        <w:rPr>
          <w:lang w:val="en-US"/>
        </w:rPr>
        <w:t xml:space="preserve">local </w:t>
      </w:r>
      <w:r w:rsidR="007E005F" w:rsidRPr="005A0C0E">
        <w:rPr>
          <w:lang w:val="en-US"/>
        </w:rPr>
        <w:t>stigmatization</w:t>
      </w:r>
      <w:r w:rsidRPr="005A0C0E">
        <w:rPr>
          <w:lang w:val="en-US"/>
        </w:rPr>
        <w:t xml:space="preserve"> and discrimination that lead to the exclusion of persons with disabilities from credit groups and saving associations. Eggen and Mersland (200</w:t>
      </w:r>
      <w:r w:rsidR="00DA3A14" w:rsidRPr="005A0C0E">
        <w:rPr>
          <w:lang w:val="en-US"/>
        </w:rPr>
        <w:t>7</w:t>
      </w:r>
      <w:r w:rsidRPr="005A0C0E">
        <w:rPr>
          <w:lang w:val="en-US"/>
        </w:rPr>
        <w:t xml:space="preserve">) explain the importance of letting groups be autonomous </w:t>
      </w:r>
      <w:r w:rsidR="007E005F" w:rsidRPr="005A0C0E">
        <w:rPr>
          <w:lang w:val="en-US"/>
        </w:rPr>
        <w:t>regarding</w:t>
      </w:r>
      <w:r w:rsidRPr="005A0C0E">
        <w:rPr>
          <w:lang w:val="en-US"/>
        </w:rPr>
        <w:t xml:space="preserve"> </w:t>
      </w:r>
      <w:r w:rsidR="004A3A21" w:rsidRPr="005A0C0E">
        <w:rPr>
          <w:lang w:val="en-US"/>
        </w:rPr>
        <w:t xml:space="preserve">the </w:t>
      </w:r>
      <w:r w:rsidRPr="005A0C0E">
        <w:rPr>
          <w:lang w:val="en-US"/>
        </w:rPr>
        <w:t xml:space="preserve">selection of members. Policy makers, DPOs, MFIs and others thus need to continue raising awareness about the rights </w:t>
      </w:r>
      <w:r w:rsidR="004A3A21" w:rsidRPr="005A0C0E">
        <w:rPr>
          <w:lang w:val="en-US"/>
        </w:rPr>
        <w:t xml:space="preserve">of </w:t>
      </w:r>
      <w:r w:rsidRPr="005A0C0E">
        <w:rPr>
          <w:lang w:val="en-US"/>
        </w:rPr>
        <w:t xml:space="preserve">persons with disabilities. </w:t>
      </w:r>
      <w:r w:rsidR="00E2145D" w:rsidRPr="005A0C0E">
        <w:rPr>
          <w:lang w:val="en-US"/>
        </w:rPr>
        <w:t>In addition, current trends in the microfinance industry might be benefi</w:t>
      </w:r>
      <w:r w:rsidR="007E005F" w:rsidRPr="005A0C0E">
        <w:rPr>
          <w:lang w:val="en-US"/>
        </w:rPr>
        <w:t>cial</w:t>
      </w:r>
      <w:r w:rsidR="00E2145D" w:rsidRPr="005A0C0E">
        <w:rPr>
          <w:lang w:val="en-US"/>
        </w:rPr>
        <w:t xml:space="preserve"> for persons with disabilities. As competition in the industry increases</w:t>
      </w:r>
      <w:r w:rsidR="007E005F" w:rsidRPr="005A0C0E">
        <w:rPr>
          <w:lang w:val="en-US"/>
        </w:rPr>
        <w:t>,</w:t>
      </w:r>
      <w:r w:rsidR="00E2145D" w:rsidRPr="005A0C0E">
        <w:rPr>
          <w:lang w:val="en-US"/>
        </w:rPr>
        <w:t xml:space="preserve"> MFIs are lowering their prices, improving their services and targeting new market segments, including the disability segment. In addition there </w:t>
      </w:r>
      <w:r w:rsidR="00E2145D" w:rsidRPr="005A0C0E">
        <w:rPr>
          <w:lang w:val="en-US"/>
        </w:rPr>
        <w:lastRenderedPageBreak/>
        <w:t xml:space="preserve">is now a strong shift away from group methodologies </w:t>
      </w:r>
      <w:r w:rsidR="007E005F" w:rsidRPr="005A0C0E">
        <w:rPr>
          <w:lang w:val="en-US"/>
        </w:rPr>
        <w:t>toward</w:t>
      </w:r>
      <w:r w:rsidR="00E2145D" w:rsidRPr="005A0C0E">
        <w:rPr>
          <w:lang w:val="en-US"/>
        </w:rPr>
        <w:t xml:space="preserve"> individual methodologies (Mersland and Strøm, 2011)</w:t>
      </w:r>
      <w:r w:rsidR="0039668C" w:rsidRPr="005A0C0E">
        <w:rPr>
          <w:lang w:val="en-US"/>
        </w:rPr>
        <w:t>,</w:t>
      </w:r>
      <w:r w:rsidR="00E2145D" w:rsidRPr="005A0C0E">
        <w:rPr>
          <w:lang w:val="en-US"/>
        </w:rPr>
        <w:t xml:space="preserve"> which in most cases</w:t>
      </w:r>
      <w:r w:rsidR="005E6B3E">
        <w:rPr>
          <w:lang w:val="en-US"/>
        </w:rPr>
        <w:t>,</w:t>
      </w:r>
      <w:r w:rsidR="00E2145D" w:rsidRPr="005A0C0E">
        <w:rPr>
          <w:lang w:val="en-US"/>
        </w:rPr>
        <w:t xml:space="preserve"> </w:t>
      </w:r>
      <w:r w:rsidR="0098714E" w:rsidRPr="005A0C0E">
        <w:rPr>
          <w:lang w:val="en-US"/>
        </w:rPr>
        <w:t>are preferred by</w:t>
      </w:r>
      <w:r w:rsidR="00E2145D" w:rsidRPr="005A0C0E">
        <w:rPr>
          <w:lang w:val="en-US"/>
        </w:rPr>
        <w:t xml:space="preserve"> persons with disabilities. </w:t>
      </w:r>
    </w:p>
    <w:p w:rsidR="006130AE" w:rsidRPr="005A0C0E" w:rsidRDefault="0098714E" w:rsidP="004E05EF">
      <w:pPr>
        <w:spacing w:line="480" w:lineRule="auto"/>
        <w:rPr>
          <w:u w:val="single"/>
          <w:lang w:val="en-US"/>
        </w:rPr>
      </w:pPr>
      <w:r w:rsidRPr="005A0C0E">
        <w:rPr>
          <w:u w:val="single"/>
          <w:lang w:val="en-US"/>
        </w:rPr>
        <w:t>Self-exclusion</w:t>
      </w:r>
    </w:p>
    <w:p w:rsidR="00490034" w:rsidRPr="005A0C0E" w:rsidRDefault="005E6B3E" w:rsidP="004E05EF">
      <w:pPr>
        <w:spacing w:line="480" w:lineRule="auto"/>
        <w:rPr>
          <w:lang w:val="en-US"/>
        </w:rPr>
      </w:pPr>
      <w:r>
        <w:rPr>
          <w:lang w:val="en-US"/>
        </w:rPr>
        <w:t>Alt</w:t>
      </w:r>
      <w:r w:rsidRPr="005A0C0E">
        <w:rPr>
          <w:lang w:val="en-US"/>
        </w:rPr>
        <w:t xml:space="preserve">hough </w:t>
      </w:r>
      <w:r w:rsidR="00490034" w:rsidRPr="005A0C0E">
        <w:rPr>
          <w:lang w:val="en-US"/>
        </w:rPr>
        <w:t>Beisland &amp; Mersland (2012</w:t>
      </w:r>
      <w:r w:rsidR="004A3A21" w:rsidRPr="005A0C0E">
        <w:rPr>
          <w:lang w:val="en-US"/>
        </w:rPr>
        <w:t>a</w:t>
      </w:r>
      <w:r w:rsidR="00490034" w:rsidRPr="005A0C0E">
        <w:rPr>
          <w:lang w:val="en-US"/>
        </w:rPr>
        <w:t>) find that</w:t>
      </w:r>
      <w:r>
        <w:rPr>
          <w:lang w:val="en-US"/>
        </w:rPr>
        <w:t>,</w:t>
      </w:r>
      <w:r w:rsidR="00490034" w:rsidRPr="005A0C0E">
        <w:rPr>
          <w:lang w:val="en-US"/>
        </w:rPr>
        <w:t xml:space="preserve"> according to persons with disabilities themselves</w:t>
      </w:r>
      <w:r w:rsidR="007E005F" w:rsidRPr="005A0C0E">
        <w:rPr>
          <w:lang w:val="en-US"/>
        </w:rPr>
        <w:t>,</w:t>
      </w:r>
      <w:r w:rsidR="00490034" w:rsidRPr="005A0C0E">
        <w:rPr>
          <w:lang w:val="en-US"/>
        </w:rPr>
        <w:t xml:space="preserve"> sel</w:t>
      </w:r>
      <w:r w:rsidR="00FC263B" w:rsidRPr="005A0C0E">
        <w:rPr>
          <w:lang w:val="en-US"/>
        </w:rPr>
        <w:t>f</w:t>
      </w:r>
      <w:r w:rsidR="00490034" w:rsidRPr="005A0C0E">
        <w:rPr>
          <w:lang w:val="en-US"/>
        </w:rPr>
        <w:t xml:space="preserve">-exclusion stemming from low self-esteem is not </w:t>
      </w:r>
      <w:r w:rsidR="00AD31FF" w:rsidRPr="005A0C0E">
        <w:rPr>
          <w:lang w:val="en-US"/>
        </w:rPr>
        <w:t xml:space="preserve">the </w:t>
      </w:r>
      <w:r w:rsidR="00490034" w:rsidRPr="005A0C0E">
        <w:rPr>
          <w:lang w:val="en-US"/>
        </w:rPr>
        <w:t>major problem, we suggest maintain</w:t>
      </w:r>
      <w:r w:rsidR="004A3A21" w:rsidRPr="005A0C0E">
        <w:rPr>
          <w:lang w:val="en-US"/>
        </w:rPr>
        <w:t>ing</w:t>
      </w:r>
      <w:r w:rsidR="00490034" w:rsidRPr="005A0C0E">
        <w:rPr>
          <w:lang w:val="en-US"/>
        </w:rPr>
        <w:t xml:space="preserve"> </w:t>
      </w:r>
      <w:r w:rsidR="00DA19BB" w:rsidRPr="005A0C0E">
        <w:rPr>
          <w:lang w:val="en-US"/>
        </w:rPr>
        <w:t>a</w:t>
      </w:r>
      <w:r w:rsidR="00490034" w:rsidRPr="005A0C0E">
        <w:rPr>
          <w:lang w:val="en-US"/>
        </w:rPr>
        <w:t xml:space="preserve"> </w:t>
      </w:r>
      <w:r w:rsidR="004A3A21" w:rsidRPr="005A0C0E">
        <w:rPr>
          <w:lang w:val="en-US"/>
        </w:rPr>
        <w:t xml:space="preserve">focus </w:t>
      </w:r>
      <w:r w:rsidR="00490034" w:rsidRPr="005A0C0E">
        <w:rPr>
          <w:lang w:val="en-US"/>
        </w:rPr>
        <w:t>o</w:t>
      </w:r>
      <w:r w:rsidR="004A3A21" w:rsidRPr="005A0C0E">
        <w:rPr>
          <w:lang w:val="en-US"/>
        </w:rPr>
        <w:t>n</w:t>
      </w:r>
      <w:r w:rsidR="00490034" w:rsidRPr="005A0C0E">
        <w:rPr>
          <w:lang w:val="en-US"/>
        </w:rPr>
        <w:t xml:space="preserve"> this exclusion barrier. </w:t>
      </w:r>
      <w:r w:rsidR="007E005F" w:rsidRPr="005A0C0E">
        <w:rPr>
          <w:lang w:val="en-US"/>
        </w:rPr>
        <w:t xml:space="preserve">Similar to </w:t>
      </w:r>
      <w:r w:rsidR="00DA19BB" w:rsidRPr="005A0C0E">
        <w:rPr>
          <w:lang w:val="en-US"/>
        </w:rPr>
        <w:t xml:space="preserve">others who have </w:t>
      </w:r>
      <w:r w:rsidR="00736BE9" w:rsidRPr="005A0C0E">
        <w:rPr>
          <w:lang w:val="en-US"/>
        </w:rPr>
        <w:t xml:space="preserve">experienced </w:t>
      </w:r>
      <w:r w:rsidR="0098714E" w:rsidRPr="005A0C0E">
        <w:rPr>
          <w:lang w:val="en-US"/>
        </w:rPr>
        <w:t xml:space="preserve">exclusion, </w:t>
      </w:r>
      <w:r w:rsidR="007E005F" w:rsidRPr="005A0C0E">
        <w:rPr>
          <w:lang w:val="en-US"/>
        </w:rPr>
        <w:t>stigmatization</w:t>
      </w:r>
      <w:r w:rsidR="0098714E" w:rsidRPr="005A0C0E">
        <w:rPr>
          <w:lang w:val="en-US"/>
        </w:rPr>
        <w:t xml:space="preserve"> and discrimination, </w:t>
      </w:r>
      <w:r w:rsidR="003A1AE6" w:rsidRPr="005A0C0E">
        <w:rPr>
          <w:lang w:val="en-US"/>
        </w:rPr>
        <w:t xml:space="preserve">some persons with disabilities </w:t>
      </w:r>
      <w:r w:rsidR="0098714E" w:rsidRPr="005A0C0E">
        <w:rPr>
          <w:lang w:val="en-US"/>
        </w:rPr>
        <w:t xml:space="preserve">avoid seeking out new opportunities. DPOs are </w:t>
      </w:r>
      <w:r w:rsidR="005A0C0E" w:rsidRPr="00B624A8">
        <w:rPr>
          <w:lang w:val="en-US"/>
        </w:rPr>
        <w:t>most likely</w:t>
      </w:r>
      <w:r w:rsidR="0098714E" w:rsidRPr="005A0C0E">
        <w:rPr>
          <w:lang w:val="en-US"/>
        </w:rPr>
        <w:t xml:space="preserve"> those</w:t>
      </w:r>
      <w:r w:rsidR="007E005F" w:rsidRPr="005A0C0E">
        <w:rPr>
          <w:lang w:val="en-US"/>
        </w:rPr>
        <w:t xml:space="preserve"> </w:t>
      </w:r>
      <w:r w:rsidR="0098714E" w:rsidRPr="005A0C0E">
        <w:rPr>
          <w:lang w:val="en-US"/>
        </w:rPr>
        <w:t xml:space="preserve">best </w:t>
      </w:r>
      <w:r w:rsidR="00A528C0" w:rsidRPr="005A0C0E">
        <w:rPr>
          <w:lang w:val="en-US"/>
        </w:rPr>
        <w:t xml:space="preserve">suited </w:t>
      </w:r>
      <w:r w:rsidR="0098714E" w:rsidRPr="005A0C0E">
        <w:rPr>
          <w:lang w:val="en-US"/>
        </w:rPr>
        <w:t>to address these challenges</w:t>
      </w:r>
      <w:r w:rsidR="00834EDA" w:rsidRPr="005A0C0E">
        <w:rPr>
          <w:lang w:val="en-US"/>
        </w:rPr>
        <w:t>; however,</w:t>
      </w:r>
      <w:r w:rsidR="0098714E" w:rsidRPr="005A0C0E">
        <w:rPr>
          <w:lang w:val="en-US"/>
        </w:rPr>
        <w:t xml:space="preserve"> MFIs and others should be aware of the challenge and </w:t>
      </w:r>
      <w:r w:rsidR="003A450B" w:rsidRPr="005A0C0E">
        <w:rPr>
          <w:lang w:val="en-US"/>
        </w:rPr>
        <w:t xml:space="preserve">ensure </w:t>
      </w:r>
      <w:r w:rsidR="0098714E" w:rsidRPr="005A0C0E">
        <w:rPr>
          <w:lang w:val="en-US"/>
        </w:rPr>
        <w:t xml:space="preserve">respectful customer service. </w:t>
      </w:r>
    </w:p>
    <w:p w:rsidR="00490034" w:rsidRPr="005A0C0E" w:rsidRDefault="00490034" w:rsidP="004E05EF">
      <w:pPr>
        <w:spacing w:line="480" w:lineRule="auto"/>
        <w:rPr>
          <w:lang w:val="en-US"/>
        </w:rPr>
      </w:pPr>
      <w:r w:rsidRPr="005A0C0E">
        <w:rPr>
          <w:lang w:val="en-US"/>
        </w:rPr>
        <w:t xml:space="preserve">One </w:t>
      </w:r>
      <w:r w:rsidR="0039668C" w:rsidRPr="005A0C0E">
        <w:rPr>
          <w:lang w:val="en-US"/>
        </w:rPr>
        <w:t xml:space="preserve">important </w:t>
      </w:r>
      <w:r w:rsidR="00834EDA" w:rsidRPr="005A0C0E">
        <w:rPr>
          <w:lang w:val="en-US"/>
        </w:rPr>
        <w:t>type</w:t>
      </w:r>
      <w:r w:rsidRPr="005A0C0E">
        <w:rPr>
          <w:lang w:val="en-US"/>
        </w:rPr>
        <w:t xml:space="preserve"> of self-exclusion is the fact that many persons with disabilities (as many other vulnerable persons) are not informed about available services. This</w:t>
      </w:r>
      <w:r w:rsidR="00834EDA" w:rsidRPr="005A0C0E">
        <w:rPr>
          <w:lang w:val="en-US"/>
        </w:rPr>
        <w:t xml:space="preserve"> finding</w:t>
      </w:r>
      <w:r w:rsidRPr="005A0C0E">
        <w:rPr>
          <w:lang w:val="en-US"/>
        </w:rPr>
        <w:t xml:space="preserve"> is also documented in recent research suggesting that persons with disabilities </w:t>
      </w:r>
      <w:r w:rsidR="009125F9" w:rsidRPr="005A0C0E">
        <w:rPr>
          <w:lang w:val="en-US"/>
        </w:rPr>
        <w:t xml:space="preserve">do not </w:t>
      </w:r>
      <w:r w:rsidRPr="005A0C0E">
        <w:rPr>
          <w:lang w:val="en-US"/>
        </w:rPr>
        <w:t xml:space="preserve">approach microfinance services simply because they are not aware that they would be eligible for such services (cf. </w:t>
      </w:r>
      <w:proofErr w:type="spellStart"/>
      <w:r w:rsidRPr="005A0C0E">
        <w:rPr>
          <w:lang w:val="en-US"/>
        </w:rPr>
        <w:t>Bwire</w:t>
      </w:r>
      <w:proofErr w:type="spellEnd"/>
      <w:r w:rsidRPr="005A0C0E">
        <w:rPr>
          <w:lang w:val="en-US"/>
        </w:rPr>
        <w:t xml:space="preserve"> et al., 2009; Lewis, 2004). Increased and target</w:t>
      </w:r>
      <w:r w:rsidR="009125F9" w:rsidRPr="005A0C0E">
        <w:rPr>
          <w:lang w:val="en-US"/>
        </w:rPr>
        <w:t>ed</w:t>
      </w:r>
      <w:r w:rsidRPr="005A0C0E">
        <w:rPr>
          <w:lang w:val="en-US"/>
        </w:rPr>
        <w:t xml:space="preserve"> marketing efforts as exemplified</w:t>
      </w:r>
      <w:r w:rsidR="00834EDA" w:rsidRPr="005A0C0E">
        <w:rPr>
          <w:lang w:val="en-US"/>
        </w:rPr>
        <w:t xml:space="preserve"> above</w:t>
      </w:r>
      <w:r w:rsidRPr="005A0C0E">
        <w:rPr>
          <w:lang w:val="en-US"/>
        </w:rPr>
        <w:t xml:space="preserve"> </w:t>
      </w:r>
      <w:r w:rsidR="00834EDA" w:rsidRPr="005A0C0E">
        <w:rPr>
          <w:lang w:val="en-US"/>
        </w:rPr>
        <w:t>by</w:t>
      </w:r>
      <w:r w:rsidRPr="005A0C0E">
        <w:rPr>
          <w:lang w:val="en-US"/>
        </w:rPr>
        <w:t xml:space="preserve"> </w:t>
      </w:r>
      <w:proofErr w:type="spellStart"/>
      <w:r w:rsidRPr="005A0C0E">
        <w:rPr>
          <w:lang w:val="en-US"/>
        </w:rPr>
        <w:t>Banco</w:t>
      </w:r>
      <w:proofErr w:type="spellEnd"/>
      <w:r w:rsidRPr="005A0C0E">
        <w:rPr>
          <w:lang w:val="en-US"/>
        </w:rPr>
        <w:t xml:space="preserve"> D-MIRO </w:t>
      </w:r>
      <w:r w:rsidR="00834EDA" w:rsidRPr="005A0C0E">
        <w:rPr>
          <w:lang w:val="en-US"/>
        </w:rPr>
        <w:t xml:space="preserve">are </w:t>
      </w:r>
      <w:r w:rsidRPr="005A0C0E">
        <w:rPr>
          <w:lang w:val="en-US"/>
        </w:rPr>
        <w:t xml:space="preserve">needed. </w:t>
      </w:r>
    </w:p>
    <w:p w:rsidR="00FC263B" w:rsidRPr="005A0C0E" w:rsidRDefault="00FC263B" w:rsidP="00FC263B">
      <w:pPr>
        <w:spacing w:line="480" w:lineRule="auto"/>
        <w:rPr>
          <w:lang w:val="en-US"/>
        </w:rPr>
      </w:pPr>
      <w:r w:rsidRPr="005A0C0E">
        <w:rPr>
          <w:lang w:val="en-US"/>
        </w:rPr>
        <w:t>Finally, there is an often</w:t>
      </w:r>
      <w:r w:rsidR="00FB4A3C" w:rsidRPr="005A0C0E">
        <w:rPr>
          <w:lang w:val="en-US"/>
        </w:rPr>
        <w:t>-</w:t>
      </w:r>
      <w:r w:rsidRPr="005A0C0E">
        <w:rPr>
          <w:lang w:val="en-US"/>
        </w:rPr>
        <w:t>neglected effect of financial services</w:t>
      </w:r>
      <w:r w:rsidR="00C00990" w:rsidRPr="005A0C0E">
        <w:rPr>
          <w:lang w:val="en-US"/>
        </w:rPr>
        <w:t>;</w:t>
      </w:r>
      <w:r w:rsidRPr="005A0C0E">
        <w:rPr>
          <w:lang w:val="en-US"/>
        </w:rPr>
        <w:t xml:space="preserve"> </w:t>
      </w:r>
      <w:r w:rsidR="00C00990" w:rsidRPr="005A0C0E">
        <w:rPr>
          <w:lang w:val="en-US"/>
        </w:rPr>
        <w:t>b</w:t>
      </w:r>
      <w:r w:rsidRPr="005A0C0E">
        <w:rPr>
          <w:lang w:val="en-US"/>
        </w:rPr>
        <w:t xml:space="preserve">eing trusted by a credit company or having been able to steadily save money can </w:t>
      </w:r>
      <w:r w:rsidR="00FB4A3C" w:rsidRPr="005A0C0E">
        <w:rPr>
          <w:lang w:val="en-US"/>
        </w:rPr>
        <w:t xml:space="preserve">completely </w:t>
      </w:r>
      <w:r w:rsidRPr="005A0C0E">
        <w:rPr>
          <w:lang w:val="en-US"/>
        </w:rPr>
        <w:t xml:space="preserve">change a person’s self-respect. We thus welcome systematic project efforts as well as rigorous research to study the self-esteem effect from accessing microfinance. </w:t>
      </w:r>
    </w:p>
    <w:p w:rsidR="00FC263B" w:rsidRPr="005A0C0E" w:rsidRDefault="00FC263B" w:rsidP="004E05EF">
      <w:pPr>
        <w:spacing w:line="480" w:lineRule="auto"/>
        <w:rPr>
          <w:lang w:val="en-US"/>
        </w:rPr>
      </w:pPr>
    </w:p>
    <w:p w:rsidR="003144B4" w:rsidRPr="005A0C0E" w:rsidRDefault="003144B4" w:rsidP="003144B4">
      <w:pPr>
        <w:spacing w:line="480" w:lineRule="auto"/>
        <w:rPr>
          <w:u w:val="single"/>
          <w:lang w:val="en-US"/>
        </w:rPr>
      </w:pPr>
      <w:r w:rsidRPr="005A0C0E">
        <w:rPr>
          <w:u w:val="single"/>
          <w:lang w:val="en-US"/>
        </w:rPr>
        <w:t>Physical and informational barriers</w:t>
      </w:r>
    </w:p>
    <w:p w:rsidR="005C147F" w:rsidRPr="005A0C0E" w:rsidRDefault="00FB4A3C" w:rsidP="003144B4">
      <w:pPr>
        <w:spacing w:line="480" w:lineRule="auto"/>
        <w:rPr>
          <w:lang w:val="en-US"/>
        </w:rPr>
      </w:pPr>
      <w:r w:rsidRPr="005A0C0E">
        <w:rPr>
          <w:lang w:val="en-US"/>
        </w:rPr>
        <w:lastRenderedPageBreak/>
        <w:t>Unfortunately,</w:t>
      </w:r>
      <w:r w:rsidR="003144B4" w:rsidRPr="005A0C0E">
        <w:rPr>
          <w:lang w:val="en-US"/>
        </w:rPr>
        <w:t xml:space="preserve"> most countries </w:t>
      </w:r>
      <w:r w:rsidR="00470168" w:rsidRPr="005A0C0E">
        <w:rPr>
          <w:lang w:val="en-US"/>
        </w:rPr>
        <w:t xml:space="preserve">in which </w:t>
      </w:r>
      <w:r w:rsidR="003144B4" w:rsidRPr="005A0C0E">
        <w:rPr>
          <w:lang w:val="en-US"/>
        </w:rPr>
        <w:t xml:space="preserve">MFIs operate are weakly equipped </w:t>
      </w:r>
      <w:r w:rsidRPr="005A0C0E">
        <w:rPr>
          <w:lang w:val="en-US"/>
        </w:rPr>
        <w:t>regarding</w:t>
      </w:r>
      <w:r w:rsidR="005C147F" w:rsidRPr="005A0C0E">
        <w:rPr>
          <w:lang w:val="en-US"/>
        </w:rPr>
        <w:t xml:space="preserve"> </w:t>
      </w:r>
      <w:r w:rsidRPr="005A0C0E">
        <w:rPr>
          <w:lang w:val="en-US"/>
        </w:rPr>
        <w:t>ens</w:t>
      </w:r>
      <w:r w:rsidR="005C147F" w:rsidRPr="005A0C0E">
        <w:rPr>
          <w:lang w:val="en-US"/>
        </w:rPr>
        <w:t xml:space="preserve">uring equal opportunities for persons with disabilities. Information available in </w:t>
      </w:r>
      <w:r w:rsidR="00253B82" w:rsidRPr="005A0C0E">
        <w:rPr>
          <w:lang w:val="en-US"/>
        </w:rPr>
        <w:t>Braille</w:t>
      </w:r>
      <w:r w:rsidR="005C147F" w:rsidRPr="005A0C0E">
        <w:rPr>
          <w:lang w:val="en-US"/>
        </w:rPr>
        <w:t xml:space="preserve"> language, sign interpreters or wheelchair ramps </w:t>
      </w:r>
      <w:proofErr w:type="gramStart"/>
      <w:r w:rsidR="005C147F" w:rsidRPr="005A0C0E">
        <w:rPr>
          <w:lang w:val="en-US"/>
        </w:rPr>
        <w:t>are</w:t>
      </w:r>
      <w:proofErr w:type="gramEnd"/>
      <w:r w:rsidR="005C147F" w:rsidRPr="005A0C0E">
        <w:rPr>
          <w:lang w:val="en-US"/>
        </w:rPr>
        <w:t xml:space="preserve"> theoretical</w:t>
      </w:r>
      <w:r w:rsidR="005E6B3E">
        <w:rPr>
          <w:lang w:val="en-US"/>
        </w:rPr>
        <w:t>, unrealistic</w:t>
      </w:r>
      <w:r w:rsidR="005C147F" w:rsidRPr="005A0C0E">
        <w:rPr>
          <w:lang w:val="en-US"/>
        </w:rPr>
        <w:t xml:space="preserve"> solutions.</w:t>
      </w:r>
      <w:r w:rsidR="00E34F61" w:rsidRPr="005A0C0E">
        <w:rPr>
          <w:lang w:val="en-US"/>
        </w:rPr>
        <w:t xml:space="preserve"> </w:t>
      </w:r>
      <w:r w:rsidR="001D4DA4" w:rsidRPr="005A0C0E">
        <w:rPr>
          <w:lang w:val="en-US"/>
        </w:rPr>
        <w:t>E</w:t>
      </w:r>
      <w:r w:rsidR="005C147F" w:rsidRPr="005A0C0E">
        <w:rPr>
          <w:lang w:val="en-US"/>
        </w:rPr>
        <w:t>ven if microfinance information w</w:t>
      </w:r>
      <w:r w:rsidR="001D4DA4" w:rsidRPr="005A0C0E">
        <w:rPr>
          <w:lang w:val="en-US"/>
        </w:rPr>
        <w:t>ere</w:t>
      </w:r>
      <w:r w:rsidR="005C147F" w:rsidRPr="005A0C0E">
        <w:rPr>
          <w:lang w:val="en-US"/>
        </w:rPr>
        <w:t xml:space="preserve"> available in </w:t>
      </w:r>
      <w:r w:rsidR="001D4DA4" w:rsidRPr="005A0C0E">
        <w:rPr>
          <w:lang w:val="en-US"/>
        </w:rPr>
        <w:t>Braille,</w:t>
      </w:r>
      <w:r w:rsidR="005C147F" w:rsidRPr="005A0C0E">
        <w:rPr>
          <w:lang w:val="en-US"/>
        </w:rPr>
        <w:t xml:space="preserve"> there are few persons with visual impairments </w:t>
      </w:r>
      <w:r w:rsidR="005E6B3E">
        <w:rPr>
          <w:lang w:val="en-US"/>
        </w:rPr>
        <w:t>who</w:t>
      </w:r>
      <w:r w:rsidR="005E6B3E" w:rsidRPr="005A0C0E">
        <w:rPr>
          <w:lang w:val="en-US"/>
        </w:rPr>
        <w:t xml:space="preserve"> </w:t>
      </w:r>
      <w:r w:rsidR="005C147F" w:rsidRPr="005A0C0E">
        <w:rPr>
          <w:lang w:val="en-US"/>
        </w:rPr>
        <w:t>can read it</w:t>
      </w:r>
      <w:r w:rsidR="001D4DA4" w:rsidRPr="005A0C0E">
        <w:rPr>
          <w:lang w:val="en-US"/>
        </w:rPr>
        <w:t>;</w:t>
      </w:r>
      <w:r w:rsidR="005C147F" w:rsidRPr="005A0C0E">
        <w:rPr>
          <w:lang w:val="en-US"/>
        </w:rPr>
        <w:t xml:space="preserve"> </w:t>
      </w:r>
      <w:r w:rsidR="001D4DA4" w:rsidRPr="005A0C0E">
        <w:rPr>
          <w:lang w:val="en-US"/>
        </w:rPr>
        <w:t>similarly,</w:t>
      </w:r>
      <w:r w:rsidR="005C147F" w:rsidRPr="005A0C0E">
        <w:rPr>
          <w:lang w:val="en-US"/>
        </w:rPr>
        <w:t xml:space="preserve"> there are few persons with hearing impairment</w:t>
      </w:r>
      <w:r w:rsidR="00BD3A25" w:rsidRPr="005A0C0E">
        <w:rPr>
          <w:lang w:val="en-US"/>
        </w:rPr>
        <w:t>s</w:t>
      </w:r>
      <w:r w:rsidR="005C147F" w:rsidRPr="005A0C0E">
        <w:rPr>
          <w:lang w:val="en-US"/>
        </w:rPr>
        <w:t xml:space="preserve"> </w:t>
      </w:r>
      <w:r w:rsidR="005E6B3E">
        <w:rPr>
          <w:lang w:val="en-US"/>
        </w:rPr>
        <w:t>who</w:t>
      </w:r>
      <w:r w:rsidR="005E6B3E" w:rsidRPr="005A0C0E">
        <w:rPr>
          <w:lang w:val="en-US"/>
        </w:rPr>
        <w:t xml:space="preserve"> </w:t>
      </w:r>
      <w:r w:rsidR="005C147F" w:rsidRPr="005A0C0E">
        <w:rPr>
          <w:lang w:val="en-US"/>
        </w:rPr>
        <w:t xml:space="preserve">practice sign language. </w:t>
      </w:r>
      <w:r w:rsidR="00E34F61" w:rsidRPr="005A0C0E">
        <w:rPr>
          <w:lang w:val="en-US"/>
        </w:rPr>
        <w:t xml:space="preserve">Because </w:t>
      </w:r>
      <w:r w:rsidR="005C147F" w:rsidRPr="005A0C0E">
        <w:rPr>
          <w:lang w:val="en-US"/>
        </w:rPr>
        <w:t xml:space="preserve">the microfinance industry is a very international industry with </w:t>
      </w:r>
      <w:r w:rsidR="005E6B3E">
        <w:rPr>
          <w:lang w:val="en-US"/>
        </w:rPr>
        <w:t>significant</w:t>
      </w:r>
      <w:r w:rsidR="005E6B3E" w:rsidRPr="005A0C0E">
        <w:rPr>
          <w:lang w:val="en-US"/>
        </w:rPr>
        <w:t xml:space="preserve"> </w:t>
      </w:r>
      <w:r w:rsidR="005C147F" w:rsidRPr="005A0C0E">
        <w:rPr>
          <w:lang w:val="en-US"/>
        </w:rPr>
        <w:t>donor support</w:t>
      </w:r>
      <w:r w:rsidR="00E34F61" w:rsidRPr="005A0C0E">
        <w:rPr>
          <w:lang w:val="en-US"/>
        </w:rPr>
        <w:t>,</w:t>
      </w:r>
      <w:r w:rsidR="005C147F" w:rsidRPr="005A0C0E">
        <w:rPr>
          <w:lang w:val="en-US"/>
        </w:rPr>
        <w:t xml:space="preserve"> we recommend that </w:t>
      </w:r>
      <w:r w:rsidR="00E34F61" w:rsidRPr="005A0C0E">
        <w:rPr>
          <w:lang w:val="en-US"/>
        </w:rPr>
        <w:t>this industry</w:t>
      </w:r>
      <w:r w:rsidR="005C147F" w:rsidRPr="005A0C0E">
        <w:rPr>
          <w:lang w:val="en-US"/>
        </w:rPr>
        <w:t xml:space="preserve"> could take a lead in demonstrating that reducing physical and information</w:t>
      </w:r>
      <w:r w:rsidR="00470168" w:rsidRPr="005A0C0E">
        <w:rPr>
          <w:lang w:val="en-US"/>
        </w:rPr>
        <w:t>al</w:t>
      </w:r>
      <w:r w:rsidR="005C147F" w:rsidRPr="005A0C0E">
        <w:rPr>
          <w:lang w:val="en-US"/>
        </w:rPr>
        <w:t xml:space="preserve"> barriers for persons with disabilities is </w:t>
      </w:r>
      <w:r w:rsidR="00E34F61" w:rsidRPr="005A0C0E">
        <w:rPr>
          <w:lang w:val="en-US"/>
        </w:rPr>
        <w:t xml:space="preserve">also </w:t>
      </w:r>
      <w:r w:rsidR="005C147F" w:rsidRPr="005A0C0E">
        <w:rPr>
          <w:lang w:val="en-US"/>
        </w:rPr>
        <w:t xml:space="preserve">possible in </w:t>
      </w:r>
      <w:r w:rsidR="00B34E51" w:rsidRPr="005A0C0E">
        <w:rPr>
          <w:lang w:val="en-US"/>
        </w:rPr>
        <w:t xml:space="preserve">low- and middle-income </w:t>
      </w:r>
      <w:r w:rsidR="005C147F" w:rsidRPr="005A0C0E">
        <w:rPr>
          <w:lang w:val="en-US"/>
        </w:rPr>
        <w:t xml:space="preserve">countries. </w:t>
      </w:r>
      <w:r w:rsidR="009125F9" w:rsidRPr="005A0C0E">
        <w:rPr>
          <w:lang w:val="en-US"/>
        </w:rPr>
        <w:t>Some solutions are obvious, for example</w:t>
      </w:r>
      <w:r w:rsidR="00E34F61" w:rsidRPr="005A0C0E">
        <w:rPr>
          <w:lang w:val="en-US"/>
        </w:rPr>
        <w:t>,</w:t>
      </w:r>
      <w:r w:rsidR="009125F9" w:rsidRPr="005A0C0E">
        <w:rPr>
          <w:lang w:val="en-US"/>
        </w:rPr>
        <w:t xml:space="preserve"> to avoid locating MFIs in premises that require persons with disabilities to climb steep and narrow staircases.</w:t>
      </w:r>
      <w:r w:rsidR="005C147F" w:rsidRPr="005A0C0E">
        <w:rPr>
          <w:lang w:val="en-US"/>
        </w:rPr>
        <w:t xml:space="preserve"> </w:t>
      </w:r>
    </w:p>
    <w:p w:rsidR="003144B4" w:rsidRPr="005A0C0E" w:rsidRDefault="003144B4" w:rsidP="004E05EF">
      <w:pPr>
        <w:spacing w:line="480" w:lineRule="auto"/>
        <w:rPr>
          <w:lang w:val="en-US"/>
        </w:rPr>
      </w:pPr>
    </w:p>
    <w:p w:rsidR="006B609F" w:rsidRPr="005A0C0E" w:rsidRDefault="006B609F" w:rsidP="006B609F">
      <w:pPr>
        <w:spacing w:line="480" w:lineRule="auto"/>
        <w:rPr>
          <w:b/>
          <w:lang w:val="en-US"/>
        </w:rPr>
      </w:pPr>
      <w:r w:rsidRPr="005A0C0E">
        <w:rPr>
          <w:b/>
          <w:lang w:val="en-US"/>
        </w:rPr>
        <w:t>4.</w:t>
      </w:r>
      <w:r w:rsidR="00D03091" w:rsidRPr="005A0C0E">
        <w:rPr>
          <w:b/>
          <w:lang w:val="en-US"/>
        </w:rPr>
        <w:t>6</w:t>
      </w:r>
      <w:r w:rsidRPr="005A0C0E">
        <w:rPr>
          <w:b/>
          <w:lang w:val="en-US"/>
        </w:rPr>
        <w:t>. Microfinance and education</w:t>
      </w:r>
    </w:p>
    <w:p w:rsidR="006B609F" w:rsidRPr="005A0C0E" w:rsidRDefault="006B609F" w:rsidP="006B609F">
      <w:pPr>
        <w:spacing w:line="480" w:lineRule="auto"/>
        <w:rPr>
          <w:lang w:val="en-US"/>
        </w:rPr>
      </w:pPr>
      <w:r w:rsidRPr="005A0C0E">
        <w:rPr>
          <w:lang w:val="en-US"/>
        </w:rPr>
        <w:t xml:space="preserve">Prior research suggests a strong relation between the use of microfinance and </w:t>
      </w:r>
      <w:r w:rsidR="00DD5FE4" w:rsidRPr="005A0C0E">
        <w:rPr>
          <w:lang w:val="en-US"/>
        </w:rPr>
        <w:t xml:space="preserve">the level of </w:t>
      </w:r>
      <w:r w:rsidRPr="005A0C0E">
        <w:rPr>
          <w:lang w:val="en-US"/>
        </w:rPr>
        <w:t xml:space="preserve">education </w:t>
      </w:r>
      <w:r w:rsidR="001529C7" w:rsidRPr="005A0C0E">
        <w:rPr>
          <w:lang w:val="en-US"/>
        </w:rPr>
        <w:t xml:space="preserve">and between the level of income and </w:t>
      </w:r>
      <w:r w:rsidR="00DD5FE4" w:rsidRPr="005A0C0E">
        <w:rPr>
          <w:lang w:val="en-US"/>
        </w:rPr>
        <w:t xml:space="preserve">the level </w:t>
      </w:r>
      <w:r w:rsidR="001529C7" w:rsidRPr="005A0C0E">
        <w:rPr>
          <w:lang w:val="en-US"/>
        </w:rPr>
        <w:t>education</w:t>
      </w:r>
      <w:r w:rsidRPr="005A0C0E">
        <w:rPr>
          <w:lang w:val="en-US"/>
        </w:rPr>
        <w:t xml:space="preserve">. </w:t>
      </w:r>
      <w:r w:rsidR="001576FB" w:rsidRPr="005A0C0E">
        <w:rPr>
          <w:lang w:val="en-US"/>
        </w:rPr>
        <w:t>A</w:t>
      </w:r>
      <w:r w:rsidRPr="005A0C0E">
        <w:rPr>
          <w:lang w:val="en-US"/>
        </w:rPr>
        <w:t xml:space="preserve">s </w:t>
      </w:r>
      <w:r w:rsidR="00E34F61" w:rsidRPr="005A0C0E">
        <w:rPr>
          <w:lang w:val="en-US"/>
        </w:rPr>
        <w:t xml:space="preserve">the </w:t>
      </w:r>
      <w:r w:rsidRPr="005A0C0E">
        <w:rPr>
          <w:lang w:val="en-US"/>
        </w:rPr>
        <w:t xml:space="preserve">education level </w:t>
      </w:r>
      <w:r w:rsidR="001576FB" w:rsidRPr="005A0C0E">
        <w:rPr>
          <w:lang w:val="en-US"/>
        </w:rPr>
        <w:t>increases, there is a corresponding increase in income and in the use of microfinance services</w:t>
      </w:r>
      <w:r w:rsidRPr="005A0C0E">
        <w:rPr>
          <w:lang w:val="en-US"/>
        </w:rPr>
        <w:t xml:space="preserve"> (Beisland and Mersland, 2012</w:t>
      </w:r>
      <w:r w:rsidR="007B70F7" w:rsidRPr="005A0C0E">
        <w:rPr>
          <w:lang w:val="en-US"/>
        </w:rPr>
        <w:t>c;</w:t>
      </w:r>
      <w:r w:rsidR="001529C7" w:rsidRPr="005A0C0E">
        <w:rPr>
          <w:lang w:val="en-US"/>
        </w:rPr>
        <w:t xml:space="preserve"> 2012</w:t>
      </w:r>
      <w:r w:rsidR="007B70F7" w:rsidRPr="005A0C0E">
        <w:rPr>
          <w:lang w:val="en-US"/>
        </w:rPr>
        <w:t>d</w:t>
      </w:r>
      <w:r w:rsidRPr="005A0C0E">
        <w:rPr>
          <w:lang w:val="en-US"/>
        </w:rPr>
        <w:t xml:space="preserve">). Moreover, there is far less fear </w:t>
      </w:r>
      <w:r w:rsidR="001576FB" w:rsidRPr="005A0C0E">
        <w:rPr>
          <w:lang w:val="en-US"/>
        </w:rPr>
        <w:t xml:space="preserve">of </w:t>
      </w:r>
      <w:r w:rsidRPr="005A0C0E">
        <w:rPr>
          <w:lang w:val="en-US"/>
        </w:rPr>
        <w:t xml:space="preserve">the various barriers to microfinance </w:t>
      </w:r>
      <w:r w:rsidR="00310B11" w:rsidRPr="005A0C0E">
        <w:rPr>
          <w:lang w:val="en-US"/>
        </w:rPr>
        <w:t>if</w:t>
      </w:r>
      <w:r w:rsidRPr="005A0C0E">
        <w:rPr>
          <w:lang w:val="en-US"/>
        </w:rPr>
        <w:t xml:space="preserve"> the education level is high (Beisland and Mersland, 2012a). Thus, even </w:t>
      </w:r>
      <w:r w:rsidR="0092717B" w:rsidRPr="005A0C0E">
        <w:rPr>
          <w:lang w:val="en-US"/>
        </w:rPr>
        <w:t xml:space="preserve">though </w:t>
      </w:r>
      <w:r w:rsidRPr="005A0C0E">
        <w:rPr>
          <w:lang w:val="en-US"/>
        </w:rPr>
        <w:t xml:space="preserve">education is important by itself, it is also important as a means to </w:t>
      </w:r>
      <w:r w:rsidR="00182C48" w:rsidRPr="005A0C0E">
        <w:rPr>
          <w:lang w:val="en-US"/>
        </w:rPr>
        <w:t xml:space="preserve">improve income levels and to improve </w:t>
      </w:r>
      <w:r w:rsidRPr="005A0C0E">
        <w:rPr>
          <w:lang w:val="en-US"/>
        </w:rPr>
        <w:t xml:space="preserve">access </w:t>
      </w:r>
      <w:r w:rsidR="00182C48" w:rsidRPr="005A0C0E">
        <w:rPr>
          <w:lang w:val="en-US"/>
        </w:rPr>
        <w:t>to private and public services</w:t>
      </w:r>
      <w:r w:rsidR="005E6B3E">
        <w:rPr>
          <w:lang w:val="en-US"/>
        </w:rPr>
        <w:t>,</w:t>
      </w:r>
      <w:r w:rsidR="00182C48" w:rsidRPr="005A0C0E">
        <w:rPr>
          <w:lang w:val="en-US"/>
        </w:rPr>
        <w:t xml:space="preserve"> in this case</w:t>
      </w:r>
      <w:r w:rsidR="0092717B" w:rsidRPr="005A0C0E">
        <w:rPr>
          <w:lang w:val="en-US"/>
        </w:rPr>
        <w:t>,</w:t>
      </w:r>
      <w:r w:rsidR="00182C48" w:rsidRPr="005A0C0E">
        <w:rPr>
          <w:lang w:val="en-US"/>
        </w:rPr>
        <w:t xml:space="preserve"> m</w:t>
      </w:r>
      <w:r w:rsidRPr="005A0C0E">
        <w:rPr>
          <w:lang w:val="en-US"/>
        </w:rPr>
        <w:t xml:space="preserve">icrofinance services. </w:t>
      </w:r>
      <w:r w:rsidR="00182C48" w:rsidRPr="005A0C0E">
        <w:rPr>
          <w:lang w:val="en-US"/>
        </w:rPr>
        <w:t xml:space="preserve">We cannot </w:t>
      </w:r>
      <w:r w:rsidR="0092717B" w:rsidRPr="005A0C0E">
        <w:rPr>
          <w:lang w:val="en-US"/>
        </w:rPr>
        <w:t xml:space="preserve">emphasize </w:t>
      </w:r>
      <w:r w:rsidR="00182C48" w:rsidRPr="005A0C0E">
        <w:rPr>
          <w:lang w:val="en-US"/>
        </w:rPr>
        <w:t>enough that the best way to ensure better</w:t>
      </w:r>
      <w:r w:rsidR="00A11E40" w:rsidRPr="005A0C0E">
        <w:rPr>
          <w:lang w:val="en-US"/>
        </w:rPr>
        <w:t xml:space="preserve"> employment</w:t>
      </w:r>
      <w:r w:rsidR="00182C48" w:rsidRPr="005A0C0E">
        <w:rPr>
          <w:lang w:val="en-US"/>
        </w:rPr>
        <w:t xml:space="preserve"> opportunities for persons with disabilities is to</w:t>
      </w:r>
      <w:r w:rsidRPr="005A0C0E">
        <w:rPr>
          <w:lang w:val="en-US"/>
        </w:rPr>
        <w:t xml:space="preserve"> </w:t>
      </w:r>
      <w:r w:rsidR="0092717B" w:rsidRPr="005A0C0E">
        <w:rPr>
          <w:lang w:val="en-US"/>
        </w:rPr>
        <w:t xml:space="preserve">provide </w:t>
      </w:r>
      <w:r w:rsidR="00182C48" w:rsidRPr="005A0C0E">
        <w:rPr>
          <w:lang w:val="en-US"/>
        </w:rPr>
        <w:t>better education for children with disabilities.</w:t>
      </w:r>
      <w:r w:rsidRPr="005A0C0E">
        <w:rPr>
          <w:lang w:val="en-US"/>
        </w:rPr>
        <w:t xml:space="preserve"> </w:t>
      </w:r>
    </w:p>
    <w:p w:rsidR="006B609F" w:rsidRPr="005A0C0E" w:rsidRDefault="006B609F" w:rsidP="004E05EF">
      <w:pPr>
        <w:spacing w:line="480" w:lineRule="auto"/>
        <w:rPr>
          <w:lang w:val="en-US"/>
        </w:rPr>
      </w:pPr>
    </w:p>
    <w:p w:rsidR="00B8611E" w:rsidRPr="005A0C0E" w:rsidRDefault="005033EC" w:rsidP="004E05EF">
      <w:pPr>
        <w:spacing w:line="480" w:lineRule="auto"/>
        <w:rPr>
          <w:b/>
          <w:lang w:val="en-US"/>
        </w:rPr>
      </w:pPr>
      <w:r w:rsidRPr="005A0C0E">
        <w:rPr>
          <w:b/>
          <w:lang w:val="en-US"/>
        </w:rPr>
        <w:t>5. Concluding remarks</w:t>
      </w:r>
    </w:p>
    <w:p w:rsidR="009125F9" w:rsidRPr="005A0C0E" w:rsidRDefault="005033EC" w:rsidP="005033EC">
      <w:pPr>
        <w:spacing w:line="480" w:lineRule="auto"/>
        <w:rPr>
          <w:lang w:val="en-US"/>
        </w:rPr>
      </w:pPr>
      <w:r w:rsidRPr="005A0C0E">
        <w:rPr>
          <w:lang w:val="en-US"/>
        </w:rPr>
        <w:lastRenderedPageBreak/>
        <w:t xml:space="preserve">An implicit assumption of this chapter is that access to microfinance services is advantageous to persons with disabilities. </w:t>
      </w:r>
      <w:r w:rsidR="009125F9" w:rsidRPr="005A0C0E">
        <w:rPr>
          <w:lang w:val="en-US"/>
        </w:rPr>
        <w:t>It</w:t>
      </w:r>
      <w:r w:rsidRPr="005A0C0E">
        <w:rPr>
          <w:lang w:val="en-US"/>
        </w:rPr>
        <w:t xml:space="preserve"> has typically been accepted that by giving poor people access to </w:t>
      </w:r>
      <w:r w:rsidR="008C05D0" w:rsidRPr="005A0C0E">
        <w:rPr>
          <w:lang w:val="en-US"/>
        </w:rPr>
        <w:t>such services</w:t>
      </w:r>
      <w:r w:rsidRPr="005A0C0E">
        <w:rPr>
          <w:lang w:val="en-US"/>
        </w:rPr>
        <w:t>, they will experience economic development. In fact, most studies conclude that access to microfinance, whether loans or savings, has a positive impact on poor people’s economic activities and lives (Goldberg</w:t>
      </w:r>
      <w:r w:rsidR="009125F9" w:rsidRPr="005A0C0E">
        <w:rPr>
          <w:lang w:val="en-US"/>
        </w:rPr>
        <w:t>,</w:t>
      </w:r>
      <w:r w:rsidRPr="005A0C0E">
        <w:rPr>
          <w:lang w:val="en-US"/>
        </w:rPr>
        <w:t xml:space="preserve"> 2005; </w:t>
      </w:r>
      <w:r w:rsidR="009125F9" w:rsidRPr="005A0C0E">
        <w:rPr>
          <w:lang w:val="en-US"/>
        </w:rPr>
        <w:t xml:space="preserve">Levine, 2005; </w:t>
      </w:r>
      <w:r w:rsidRPr="005A0C0E">
        <w:rPr>
          <w:lang w:val="en-US"/>
        </w:rPr>
        <w:t>Odell</w:t>
      </w:r>
      <w:r w:rsidR="009125F9" w:rsidRPr="005A0C0E">
        <w:rPr>
          <w:lang w:val="en-US"/>
        </w:rPr>
        <w:t>,</w:t>
      </w:r>
      <w:r w:rsidRPr="005A0C0E">
        <w:rPr>
          <w:lang w:val="en-US"/>
        </w:rPr>
        <w:t xml:space="preserve"> 2010)</w:t>
      </w:r>
      <w:r w:rsidR="00DB5FC8" w:rsidRPr="005A0C0E">
        <w:rPr>
          <w:lang w:val="en-US"/>
        </w:rPr>
        <w:t>; however,</w:t>
      </w:r>
      <w:r w:rsidR="009125F9" w:rsidRPr="005A0C0E">
        <w:rPr>
          <w:lang w:val="en-US"/>
        </w:rPr>
        <w:t xml:space="preserve"> it is important to note that this general belief is challenged by recent studies (</w:t>
      </w:r>
      <w:r w:rsidR="000C5F21" w:rsidRPr="005A0C0E">
        <w:rPr>
          <w:lang w:val="en-US"/>
        </w:rPr>
        <w:t xml:space="preserve">cf. </w:t>
      </w:r>
      <w:proofErr w:type="spellStart"/>
      <w:r w:rsidR="009125F9" w:rsidRPr="005A0C0E">
        <w:rPr>
          <w:lang w:val="en-US"/>
        </w:rPr>
        <w:t>Duvendack</w:t>
      </w:r>
      <w:proofErr w:type="spellEnd"/>
      <w:r w:rsidR="009125F9" w:rsidRPr="005A0C0E">
        <w:rPr>
          <w:lang w:val="en-US"/>
        </w:rPr>
        <w:t xml:space="preserve"> et al., 2011)</w:t>
      </w:r>
      <w:r w:rsidRPr="005A0C0E">
        <w:rPr>
          <w:lang w:val="en-US"/>
        </w:rPr>
        <w:t xml:space="preserve">. </w:t>
      </w:r>
      <w:r w:rsidR="008C05D0" w:rsidRPr="005A0C0E">
        <w:rPr>
          <w:lang w:val="en-US"/>
        </w:rPr>
        <w:t>Collectively, there is</w:t>
      </w:r>
      <w:r w:rsidRPr="005A0C0E">
        <w:rPr>
          <w:lang w:val="en-US"/>
        </w:rPr>
        <w:t xml:space="preserve"> a reasonable degree of consensus that access to savings is positive in the fight against poverty and that access to loans can be useful to ensure consumption smoothing (Rosenberg 2010). However, whether access to loans increases poor people's income is still being </w:t>
      </w:r>
      <w:proofErr w:type="gramStart"/>
      <w:r w:rsidRPr="005A0C0E">
        <w:rPr>
          <w:lang w:val="en-US"/>
        </w:rPr>
        <w:t>debated,</w:t>
      </w:r>
      <w:proofErr w:type="gramEnd"/>
      <w:r w:rsidRPr="005A0C0E">
        <w:rPr>
          <w:lang w:val="en-US"/>
        </w:rPr>
        <w:t xml:space="preserve"> and recent studies applying </w:t>
      </w:r>
      <w:r w:rsidR="00A360AF" w:rsidRPr="005A0C0E">
        <w:rPr>
          <w:lang w:val="en-US"/>
        </w:rPr>
        <w:t>randomized</w:t>
      </w:r>
      <w:r w:rsidRPr="005A0C0E">
        <w:rPr>
          <w:lang w:val="en-US"/>
        </w:rPr>
        <w:t xml:space="preserve"> control trials have resulted in different findings (see Rosenberg 2010 for an overview). </w:t>
      </w:r>
      <w:r w:rsidR="009125F9" w:rsidRPr="005A0C0E">
        <w:rPr>
          <w:lang w:val="en-US"/>
        </w:rPr>
        <w:t>Very often</w:t>
      </w:r>
      <w:r w:rsidRPr="005A0C0E">
        <w:rPr>
          <w:lang w:val="en-US"/>
        </w:rPr>
        <w:t xml:space="preserve">, the microcredit effect may be difficult to isolate for individual households and small enterprises. For instance, loans from MFIs are often given for consumption smoothing, and the usefulness of such smoothing is difficult to estimate empirically. </w:t>
      </w:r>
    </w:p>
    <w:p w:rsidR="005033EC" w:rsidRPr="005A0C0E" w:rsidRDefault="009125F9" w:rsidP="005033EC">
      <w:pPr>
        <w:spacing w:line="480" w:lineRule="auto"/>
        <w:rPr>
          <w:lang w:val="en-US"/>
        </w:rPr>
      </w:pPr>
      <w:r w:rsidRPr="005A0C0E">
        <w:rPr>
          <w:lang w:val="en-US"/>
        </w:rPr>
        <w:t>In general</w:t>
      </w:r>
      <w:r w:rsidR="005033EC" w:rsidRPr="005A0C0E">
        <w:rPr>
          <w:lang w:val="en-US"/>
        </w:rPr>
        <w:t xml:space="preserve">, findings on </w:t>
      </w:r>
      <w:r w:rsidR="00950C16" w:rsidRPr="005A0C0E">
        <w:rPr>
          <w:lang w:val="en-US"/>
        </w:rPr>
        <w:t>the effects of microfinance can</w:t>
      </w:r>
      <w:r w:rsidR="005033EC" w:rsidRPr="005A0C0E">
        <w:rPr>
          <w:lang w:val="en-US"/>
        </w:rPr>
        <w:t>not necessarily be extrapolated to the disability community. Because an overwhelming majority of persons with disabilit</w:t>
      </w:r>
      <w:r w:rsidR="00A54675" w:rsidRPr="005A0C0E">
        <w:rPr>
          <w:lang w:val="en-US"/>
        </w:rPr>
        <w:t xml:space="preserve">ies are self-employed (Handicap </w:t>
      </w:r>
      <w:r w:rsidR="005033EC" w:rsidRPr="005A0C0E">
        <w:rPr>
          <w:lang w:val="en-US"/>
        </w:rPr>
        <w:t xml:space="preserve">International, 2006), access to capital is important, possibly more important than for the average citizen of a </w:t>
      </w:r>
      <w:r w:rsidR="00B34E51" w:rsidRPr="005A0C0E">
        <w:rPr>
          <w:lang w:val="en-US"/>
        </w:rPr>
        <w:t xml:space="preserve">low- or middle-income </w:t>
      </w:r>
      <w:r w:rsidR="005033EC" w:rsidRPr="005A0C0E">
        <w:rPr>
          <w:lang w:val="en-US"/>
        </w:rPr>
        <w:t xml:space="preserve">country.  </w:t>
      </w:r>
      <w:r w:rsidR="00667943" w:rsidRPr="005A0C0E">
        <w:rPr>
          <w:lang w:val="en-US"/>
        </w:rPr>
        <w:t>Moreover, although improvement</w:t>
      </w:r>
      <w:r w:rsidR="00492EB4" w:rsidRPr="005A0C0E">
        <w:rPr>
          <w:lang w:val="en-US"/>
        </w:rPr>
        <w:t>s</w:t>
      </w:r>
      <w:r w:rsidR="00667943" w:rsidRPr="005A0C0E">
        <w:rPr>
          <w:lang w:val="en-US"/>
        </w:rPr>
        <w:t xml:space="preserve"> in incomes and assets obviously </w:t>
      </w:r>
      <w:r w:rsidR="00492EB4" w:rsidRPr="005A0C0E">
        <w:rPr>
          <w:lang w:val="en-US"/>
        </w:rPr>
        <w:t>are</w:t>
      </w:r>
      <w:r w:rsidR="00667943" w:rsidRPr="005A0C0E">
        <w:rPr>
          <w:lang w:val="en-US"/>
        </w:rPr>
        <w:t xml:space="preserve"> important, </w:t>
      </w:r>
      <w:r w:rsidR="00A07814" w:rsidRPr="005A0C0E">
        <w:rPr>
          <w:lang w:val="en-US"/>
        </w:rPr>
        <w:t xml:space="preserve">access to microfinance may also influence </w:t>
      </w:r>
      <w:r w:rsidR="00667943" w:rsidRPr="005A0C0E">
        <w:rPr>
          <w:lang w:val="en-US"/>
        </w:rPr>
        <w:t>persons with disabilities</w:t>
      </w:r>
      <w:r w:rsidR="00A07814" w:rsidRPr="005A0C0E">
        <w:rPr>
          <w:lang w:val="en-US"/>
        </w:rPr>
        <w:t>’ self-esteem and general integration into society</w:t>
      </w:r>
      <w:r w:rsidR="002E6C7A" w:rsidRPr="005A0C0E">
        <w:rPr>
          <w:lang w:val="en-US"/>
        </w:rPr>
        <w:t xml:space="preserve"> (</w:t>
      </w:r>
      <w:r w:rsidR="004C56C7" w:rsidRPr="005A0C0E">
        <w:rPr>
          <w:lang w:val="en-US"/>
        </w:rPr>
        <w:t xml:space="preserve">cf. </w:t>
      </w:r>
      <w:proofErr w:type="spellStart"/>
      <w:r w:rsidR="004C56C7" w:rsidRPr="005A0C0E">
        <w:rPr>
          <w:lang w:val="en-US"/>
        </w:rPr>
        <w:t>Cramm</w:t>
      </w:r>
      <w:proofErr w:type="spellEnd"/>
      <w:r w:rsidR="004C56C7" w:rsidRPr="005A0C0E">
        <w:rPr>
          <w:lang w:val="en-US"/>
        </w:rPr>
        <w:t xml:space="preserve"> and </w:t>
      </w:r>
      <w:proofErr w:type="spellStart"/>
      <w:r w:rsidR="004C56C7" w:rsidRPr="005A0C0E">
        <w:rPr>
          <w:lang w:val="en-US"/>
        </w:rPr>
        <w:t>Finkenflugel</w:t>
      </w:r>
      <w:proofErr w:type="spellEnd"/>
      <w:r w:rsidR="004C56C7" w:rsidRPr="005A0C0E">
        <w:rPr>
          <w:lang w:val="en-US"/>
        </w:rPr>
        <w:t>, 2008</w:t>
      </w:r>
      <w:r w:rsidR="002E6C7A" w:rsidRPr="005A0C0E">
        <w:rPr>
          <w:lang w:val="en-US"/>
        </w:rPr>
        <w:t>)</w:t>
      </w:r>
      <w:r w:rsidR="00A07814" w:rsidRPr="005A0C0E">
        <w:rPr>
          <w:lang w:val="en-US"/>
        </w:rPr>
        <w:t xml:space="preserve">. </w:t>
      </w:r>
      <w:r w:rsidR="005033EC" w:rsidRPr="005A0C0E">
        <w:rPr>
          <w:lang w:val="en-US"/>
        </w:rPr>
        <w:t xml:space="preserve">Thus, there may be reason to believe that the (positive) development effects of microfinance on average are larger for </w:t>
      </w:r>
      <w:r w:rsidR="00D067C5" w:rsidRPr="005A0C0E">
        <w:rPr>
          <w:lang w:val="en-US"/>
        </w:rPr>
        <w:t xml:space="preserve">persons with disabilities than others. </w:t>
      </w:r>
    </w:p>
    <w:p w:rsidR="001847D9" w:rsidRPr="005A0C0E" w:rsidRDefault="00D067C5" w:rsidP="004E05EF">
      <w:pPr>
        <w:spacing w:line="480" w:lineRule="auto"/>
        <w:rPr>
          <w:lang w:val="en-US"/>
        </w:rPr>
      </w:pPr>
      <w:r w:rsidRPr="005A0C0E">
        <w:rPr>
          <w:lang w:val="en-US"/>
        </w:rPr>
        <w:t xml:space="preserve">Nonetheless, the microfinance industry recently has come under </w:t>
      </w:r>
      <w:r w:rsidR="001576FB" w:rsidRPr="005A0C0E">
        <w:rPr>
          <w:lang w:val="en-US"/>
        </w:rPr>
        <w:t xml:space="preserve">a certain amount of </w:t>
      </w:r>
      <w:r w:rsidRPr="005A0C0E">
        <w:rPr>
          <w:lang w:val="en-US"/>
        </w:rPr>
        <w:t xml:space="preserve">public and media </w:t>
      </w:r>
      <w:r w:rsidR="00492EB4" w:rsidRPr="005A0C0E">
        <w:rPr>
          <w:lang w:val="en-US"/>
        </w:rPr>
        <w:t>pressure</w:t>
      </w:r>
      <w:r w:rsidRPr="005A0C0E">
        <w:rPr>
          <w:lang w:val="en-US"/>
        </w:rPr>
        <w:t xml:space="preserve">. There has been a critical focus on interest rates and collection methods, and the major question has been </w:t>
      </w:r>
      <w:r w:rsidR="00EF53E4" w:rsidRPr="005A0C0E">
        <w:rPr>
          <w:lang w:val="en-US"/>
        </w:rPr>
        <w:t xml:space="preserve">whether </w:t>
      </w:r>
      <w:r w:rsidRPr="005A0C0E">
        <w:rPr>
          <w:lang w:val="en-US"/>
        </w:rPr>
        <w:t xml:space="preserve">microfinance truly helps to bring persons out of poverty. </w:t>
      </w:r>
      <w:r w:rsidRPr="005A0C0E">
        <w:rPr>
          <w:lang w:val="en-US"/>
        </w:rPr>
        <w:lastRenderedPageBreak/>
        <w:t xml:space="preserve">Unfortunately, we are unaware of </w:t>
      </w:r>
      <w:r w:rsidR="00640D79" w:rsidRPr="005A0C0E">
        <w:rPr>
          <w:lang w:val="en-US"/>
        </w:rPr>
        <w:t xml:space="preserve">rigorous </w:t>
      </w:r>
      <w:r w:rsidRPr="005A0C0E">
        <w:rPr>
          <w:lang w:val="en-US"/>
        </w:rPr>
        <w:t>academic research that has been able to document the welfare impacts of microfinance services for persons with disabilities. Thus, we conclude this chapter with a caveat</w:t>
      </w:r>
      <w:r w:rsidR="005D5403">
        <w:rPr>
          <w:lang w:val="en-US"/>
        </w:rPr>
        <w:t>:</w:t>
      </w:r>
      <w:r w:rsidR="005D5403" w:rsidRPr="005A0C0E">
        <w:rPr>
          <w:lang w:val="en-US"/>
        </w:rPr>
        <w:t xml:space="preserve"> </w:t>
      </w:r>
      <w:r w:rsidR="005D5403">
        <w:rPr>
          <w:lang w:val="en-US"/>
        </w:rPr>
        <w:t>W</w:t>
      </w:r>
      <w:r w:rsidR="005D5403" w:rsidRPr="005A0C0E">
        <w:rPr>
          <w:lang w:val="en-US"/>
        </w:rPr>
        <w:t xml:space="preserve">e </w:t>
      </w:r>
      <w:r w:rsidRPr="005A0C0E">
        <w:rPr>
          <w:lang w:val="en-US"/>
        </w:rPr>
        <w:t>cannot rule out the possibility that microfinance under specific circumstances can be detrimental to a disabled person’s standard of living. However, in general, we agree with th</w:t>
      </w:r>
      <w:r w:rsidR="00003ACF" w:rsidRPr="005A0C0E">
        <w:rPr>
          <w:lang w:val="en-US"/>
        </w:rPr>
        <w:t>ose who</w:t>
      </w:r>
      <w:r w:rsidRPr="005A0C0E">
        <w:rPr>
          <w:lang w:val="en-US"/>
        </w:rPr>
        <w:t xml:space="preserve"> claim</w:t>
      </w:r>
      <w:r w:rsidR="00003ACF" w:rsidRPr="005A0C0E">
        <w:rPr>
          <w:lang w:val="en-US"/>
        </w:rPr>
        <w:t xml:space="preserve"> that</w:t>
      </w:r>
      <w:r w:rsidRPr="005A0C0E">
        <w:rPr>
          <w:lang w:val="en-US"/>
        </w:rPr>
        <w:t xml:space="preserve"> access to microcredit should be a priority in pro-disability policies (Handicap</w:t>
      </w:r>
      <w:r w:rsidR="00660629" w:rsidRPr="005A0C0E">
        <w:rPr>
          <w:lang w:val="en-US"/>
        </w:rPr>
        <w:t xml:space="preserve"> </w:t>
      </w:r>
      <w:r w:rsidRPr="005A0C0E">
        <w:rPr>
          <w:lang w:val="en-US"/>
        </w:rPr>
        <w:t xml:space="preserve">International, 2006; </w:t>
      </w:r>
      <w:proofErr w:type="spellStart"/>
      <w:r w:rsidRPr="005A0C0E">
        <w:rPr>
          <w:lang w:val="en-US"/>
        </w:rPr>
        <w:t>Cramm</w:t>
      </w:r>
      <w:proofErr w:type="spellEnd"/>
      <w:r w:rsidRPr="005A0C0E">
        <w:rPr>
          <w:lang w:val="en-US"/>
        </w:rPr>
        <w:t xml:space="preserve"> and </w:t>
      </w:r>
      <w:proofErr w:type="spellStart"/>
      <w:r w:rsidRPr="005A0C0E">
        <w:rPr>
          <w:lang w:val="en-US"/>
        </w:rPr>
        <w:t>Finkenflugel</w:t>
      </w:r>
      <w:proofErr w:type="spellEnd"/>
      <w:r w:rsidRPr="005A0C0E">
        <w:rPr>
          <w:lang w:val="en-US"/>
        </w:rPr>
        <w:t>, 2008)</w:t>
      </w:r>
      <w:r w:rsidR="00FF2A75" w:rsidRPr="005A0C0E">
        <w:rPr>
          <w:lang w:val="en-US"/>
        </w:rPr>
        <w:t xml:space="preserve">; </w:t>
      </w:r>
      <w:r w:rsidR="009125F9" w:rsidRPr="005A0C0E">
        <w:rPr>
          <w:lang w:val="en-US"/>
        </w:rPr>
        <w:t>i</w:t>
      </w:r>
      <w:r w:rsidR="00003ACF" w:rsidRPr="005A0C0E">
        <w:rPr>
          <w:lang w:val="en-US"/>
        </w:rPr>
        <w:t>n particular</w:t>
      </w:r>
      <w:r w:rsidR="00FF2A75" w:rsidRPr="005A0C0E">
        <w:rPr>
          <w:lang w:val="en-US"/>
        </w:rPr>
        <w:t>,</w:t>
      </w:r>
      <w:r w:rsidR="00003ACF" w:rsidRPr="005A0C0E">
        <w:rPr>
          <w:lang w:val="en-US"/>
        </w:rPr>
        <w:t xml:space="preserve"> we strongly support</w:t>
      </w:r>
      <w:r w:rsidRPr="005A0C0E">
        <w:rPr>
          <w:lang w:val="en-US"/>
        </w:rPr>
        <w:t xml:space="preserve"> the recent United Nation Convention of the Rights of Persons with Disabilities (United Nations, 2008)</w:t>
      </w:r>
      <w:r w:rsidR="00FF2A75" w:rsidRPr="005A0C0E">
        <w:rPr>
          <w:lang w:val="en-US"/>
        </w:rPr>
        <w:t>,</w:t>
      </w:r>
      <w:r w:rsidRPr="005A0C0E">
        <w:rPr>
          <w:lang w:val="en-US"/>
        </w:rPr>
        <w:t xml:space="preserve"> which clearly indicates that persons with disabilities have the right to equal opportunities, </w:t>
      </w:r>
      <w:r w:rsidR="00A11E40" w:rsidRPr="005A0C0E">
        <w:rPr>
          <w:lang w:val="en-US"/>
        </w:rPr>
        <w:t>including equal</w:t>
      </w:r>
      <w:r w:rsidRPr="005A0C0E">
        <w:rPr>
          <w:lang w:val="en-US"/>
        </w:rPr>
        <w:t xml:space="preserve"> access to microfinance services. </w:t>
      </w:r>
    </w:p>
    <w:p w:rsidR="00A54675" w:rsidRPr="005A0C0E" w:rsidRDefault="00A54675">
      <w:pPr>
        <w:rPr>
          <w:lang w:val="en-US"/>
        </w:rPr>
      </w:pPr>
      <w:r w:rsidRPr="005A0C0E">
        <w:rPr>
          <w:lang w:val="en-US"/>
        </w:rPr>
        <w:br w:type="page"/>
      </w:r>
    </w:p>
    <w:p w:rsidR="001847D9" w:rsidRPr="005A0C0E" w:rsidRDefault="001847D9" w:rsidP="004E05EF">
      <w:pPr>
        <w:spacing w:line="480" w:lineRule="auto"/>
        <w:rPr>
          <w:b/>
          <w:lang w:val="en-US"/>
        </w:rPr>
      </w:pPr>
      <w:r w:rsidRPr="005A0C0E">
        <w:rPr>
          <w:b/>
          <w:lang w:val="en-US"/>
        </w:rPr>
        <w:lastRenderedPageBreak/>
        <w:t>Literature</w:t>
      </w:r>
    </w:p>
    <w:p w:rsidR="00640D79" w:rsidRPr="005A0C0E" w:rsidRDefault="00640D79" w:rsidP="00640D79">
      <w:pPr>
        <w:spacing w:after="0" w:line="240" w:lineRule="auto"/>
        <w:ind w:left="720" w:hanging="720"/>
        <w:rPr>
          <w:rFonts w:ascii="Calibri" w:hAnsi="Calibri" w:cs="Calibri"/>
          <w:lang w:val="en-US"/>
        </w:rPr>
      </w:pPr>
      <w:bookmarkStart w:id="1" w:name="_ENREF_1"/>
      <w:proofErr w:type="gramStart"/>
      <w:r w:rsidRPr="005A0C0E">
        <w:rPr>
          <w:rFonts w:ascii="Calibri" w:hAnsi="Calibri" w:cs="Calibri"/>
          <w:lang w:val="en-US"/>
        </w:rPr>
        <w:t>Ahmad, M., &amp; Ahmad, M. M. (2011).</w:t>
      </w:r>
      <w:proofErr w:type="gramEnd"/>
      <w:r w:rsidRPr="005A0C0E">
        <w:rPr>
          <w:rFonts w:ascii="Calibri" w:hAnsi="Calibri" w:cs="Calibri"/>
          <w:lang w:val="en-US"/>
        </w:rPr>
        <w:t xml:space="preserve"> </w:t>
      </w:r>
      <w:proofErr w:type="gramStart"/>
      <w:r w:rsidRPr="005A0C0E">
        <w:rPr>
          <w:rFonts w:ascii="Calibri" w:hAnsi="Calibri" w:cs="Calibri"/>
          <w:lang w:val="en-US"/>
        </w:rPr>
        <w:t>Measuring Support Provisions for People Living With Disabilities in South Asia: An Accessibility Index.</w:t>
      </w:r>
      <w:proofErr w:type="gramEnd"/>
      <w:r w:rsidRPr="005A0C0E">
        <w:rPr>
          <w:rFonts w:ascii="Calibri" w:hAnsi="Calibri" w:cs="Calibri"/>
          <w:lang w:val="en-US"/>
        </w:rPr>
        <w:t xml:space="preserve"> </w:t>
      </w:r>
      <w:r w:rsidRPr="005A0C0E">
        <w:rPr>
          <w:rFonts w:ascii="Calibri" w:hAnsi="Calibri" w:cs="Calibri"/>
          <w:i/>
          <w:lang w:val="en-US"/>
        </w:rPr>
        <w:t>Journal of Social Service Research, 37</w:t>
      </w:r>
      <w:r w:rsidRPr="005A0C0E">
        <w:rPr>
          <w:rFonts w:ascii="Calibri" w:hAnsi="Calibri" w:cs="Calibri"/>
          <w:lang w:val="en-US"/>
        </w:rPr>
        <w:t xml:space="preserve">, 439-455. </w:t>
      </w:r>
      <w:bookmarkEnd w:id="1"/>
    </w:p>
    <w:p w:rsidR="00640D79" w:rsidRPr="005A0C0E" w:rsidRDefault="00640D79" w:rsidP="00640D79">
      <w:pPr>
        <w:spacing w:after="0" w:line="240" w:lineRule="auto"/>
        <w:ind w:left="720" w:hanging="720"/>
        <w:rPr>
          <w:rFonts w:ascii="Calibri" w:hAnsi="Calibri" w:cs="Calibri"/>
          <w:lang w:val="en-US"/>
        </w:rPr>
      </w:pPr>
      <w:bookmarkStart w:id="2" w:name="_ENREF_2"/>
      <w:r w:rsidRPr="005A0C0E">
        <w:rPr>
          <w:rFonts w:ascii="Calibri" w:hAnsi="Calibri" w:cs="Calibri"/>
          <w:lang w:val="en-US"/>
        </w:rPr>
        <w:t xml:space="preserve">Beisland, L. A., &amp; Mersland, R. (2012a). Barriers to microcredit for </w:t>
      </w:r>
      <w:r w:rsidR="00B379D9" w:rsidRPr="005A0C0E">
        <w:rPr>
          <w:rFonts w:ascii="Calibri" w:hAnsi="Calibri" w:cs="Calibri"/>
          <w:lang w:val="en-US"/>
        </w:rPr>
        <w:t>persons with disabilities</w:t>
      </w:r>
      <w:r w:rsidRPr="005A0C0E">
        <w:rPr>
          <w:rFonts w:ascii="Calibri" w:hAnsi="Calibri" w:cs="Calibri"/>
          <w:lang w:val="en-US"/>
        </w:rPr>
        <w:t xml:space="preserve">: Evidence from economically active persons in Uganda. </w:t>
      </w:r>
      <w:r w:rsidRPr="005A0C0E">
        <w:rPr>
          <w:rFonts w:ascii="Calibri" w:hAnsi="Calibri" w:cs="Calibri"/>
          <w:i/>
          <w:lang w:val="en-US"/>
        </w:rPr>
        <w:t>Enterprise Development and Microfinance Journal, 23</w:t>
      </w:r>
      <w:r w:rsidRPr="005A0C0E">
        <w:rPr>
          <w:rFonts w:ascii="Calibri" w:hAnsi="Calibri" w:cs="Calibri"/>
          <w:lang w:val="en-US"/>
        </w:rPr>
        <w:t xml:space="preserve">, 11-24. </w:t>
      </w:r>
      <w:bookmarkEnd w:id="2"/>
    </w:p>
    <w:p w:rsidR="00640D79" w:rsidRPr="005A0C0E" w:rsidRDefault="00640D79" w:rsidP="00640D79">
      <w:pPr>
        <w:spacing w:after="0" w:line="240" w:lineRule="auto"/>
        <w:ind w:left="720" w:hanging="720"/>
        <w:rPr>
          <w:rFonts w:ascii="Calibri" w:hAnsi="Calibri" w:cs="Calibri"/>
          <w:lang w:val="en-US"/>
        </w:rPr>
      </w:pPr>
      <w:bookmarkStart w:id="3" w:name="_ENREF_3"/>
      <w:r w:rsidRPr="005A0C0E">
        <w:rPr>
          <w:rFonts w:ascii="Calibri" w:hAnsi="Calibri" w:cs="Calibri"/>
          <w:lang w:val="en-US"/>
        </w:rPr>
        <w:t xml:space="preserve">Beisland, L. A., &amp; Mersland, R. (2012b). Barriers to microfinance services for persons with disabilities: The staff perspective. </w:t>
      </w:r>
      <w:proofErr w:type="gramStart"/>
      <w:r w:rsidRPr="005A0C0E">
        <w:rPr>
          <w:rFonts w:ascii="Calibri" w:hAnsi="Calibri" w:cs="Calibri"/>
          <w:i/>
          <w:lang w:val="en-US"/>
        </w:rPr>
        <w:t>Working Paper - University of Agder, Norway</w:t>
      </w:r>
      <w:r w:rsidRPr="005A0C0E">
        <w:rPr>
          <w:rFonts w:ascii="Calibri" w:hAnsi="Calibri" w:cs="Calibri"/>
          <w:lang w:val="en-US"/>
        </w:rPr>
        <w:t>.</w:t>
      </w:r>
      <w:proofErr w:type="gramEnd"/>
      <w:r w:rsidRPr="005A0C0E">
        <w:rPr>
          <w:rFonts w:ascii="Calibri" w:hAnsi="Calibri" w:cs="Calibri"/>
          <w:lang w:val="en-US"/>
        </w:rPr>
        <w:t xml:space="preserve"> </w:t>
      </w:r>
      <w:bookmarkEnd w:id="3"/>
    </w:p>
    <w:p w:rsidR="00640D79" w:rsidRPr="005A0C0E" w:rsidRDefault="00640D79" w:rsidP="00640D79">
      <w:pPr>
        <w:spacing w:after="0" w:line="240" w:lineRule="auto"/>
        <w:ind w:left="720" w:hanging="720"/>
        <w:rPr>
          <w:rFonts w:ascii="Calibri" w:hAnsi="Calibri" w:cs="Calibri"/>
          <w:lang w:val="en-US"/>
        </w:rPr>
      </w:pPr>
      <w:bookmarkStart w:id="4" w:name="_ENREF_4"/>
      <w:r w:rsidRPr="005A0C0E">
        <w:rPr>
          <w:rFonts w:ascii="Calibri" w:hAnsi="Calibri" w:cs="Calibri"/>
          <w:lang w:val="en-US"/>
        </w:rPr>
        <w:t xml:space="preserve">Beisland, L. A., &amp; Mersland, R. (2012c). Income Characteristics and the Use of Microfinance Services: Evidence from Economically Active </w:t>
      </w:r>
      <w:r w:rsidR="00B379D9" w:rsidRPr="005A0C0E">
        <w:rPr>
          <w:rFonts w:ascii="Calibri" w:hAnsi="Calibri" w:cs="Calibri"/>
          <w:lang w:val="en-US"/>
        </w:rPr>
        <w:t>Persons with disabilities</w:t>
      </w:r>
      <w:r w:rsidRPr="005A0C0E">
        <w:rPr>
          <w:rFonts w:ascii="Calibri" w:hAnsi="Calibri" w:cs="Calibri"/>
          <w:lang w:val="en-US"/>
        </w:rPr>
        <w:t xml:space="preserve">. </w:t>
      </w:r>
      <w:proofErr w:type="gramStart"/>
      <w:r w:rsidRPr="005A0C0E">
        <w:rPr>
          <w:rFonts w:ascii="Calibri" w:hAnsi="Calibri" w:cs="Calibri"/>
          <w:i/>
          <w:lang w:val="en-US"/>
        </w:rPr>
        <w:t>Working Paper - University of Agder, Norway</w:t>
      </w:r>
      <w:r w:rsidRPr="005A0C0E">
        <w:rPr>
          <w:rFonts w:ascii="Calibri" w:hAnsi="Calibri" w:cs="Calibri"/>
          <w:lang w:val="en-US"/>
        </w:rPr>
        <w:t>.</w:t>
      </w:r>
      <w:proofErr w:type="gramEnd"/>
      <w:r w:rsidRPr="005A0C0E">
        <w:rPr>
          <w:rFonts w:ascii="Calibri" w:hAnsi="Calibri" w:cs="Calibri"/>
          <w:lang w:val="en-US"/>
        </w:rPr>
        <w:t xml:space="preserve"> </w:t>
      </w:r>
      <w:bookmarkEnd w:id="4"/>
    </w:p>
    <w:p w:rsidR="00640D79" w:rsidRPr="005A0C0E" w:rsidRDefault="00640D79" w:rsidP="00640D79">
      <w:pPr>
        <w:spacing w:after="0" w:line="240" w:lineRule="auto"/>
        <w:ind w:left="720" w:hanging="720"/>
        <w:rPr>
          <w:rFonts w:ascii="Calibri" w:hAnsi="Calibri" w:cs="Calibri"/>
          <w:lang w:val="en-US"/>
        </w:rPr>
      </w:pPr>
      <w:bookmarkStart w:id="5" w:name="_ENREF_5"/>
      <w:proofErr w:type="gramStart"/>
      <w:r w:rsidRPr="005A0C0E">
        <w:rPr>
          <w:rFonts w:ascii="Calibri" w:hAnsi="Calibri" w:cs="Calibri"/>
          <w:lang w:val="en-US"/>
        </w:rPr>
        <w:t>Beisland, L. A., &amp; Mersland, R. (2012d).</w:t>
      </w:r>
      <w:proofErr w:type="gramEnd"/>
      <w:r w:rsidRPr="005A0C0E">
        <w:rPr>
          <w:rFonts w:ascii="Calibri" w:hAnsi="Calibri" w:cs="Calibri"/>
          <w:lang w:val="en-US"/>
        </w:rPr>
        <w:t xml:space="preserve"> The use of microfinance services among economically active disabled people: Evidence from Uganda. </w:t>
      </w:r>
      <w:proofErr w:type="gramStart"/>
      <w:r w:rsidRPr="005A0C0E">
        <w:rPr>
          <w:rFonts w:ascii="Calibri" w:hAnsi="Calibri" w:cs="Calibri"/>
          <w:i/>
          <w:lang w:val="en-US"/>
        </w:rPr>
        <w:t>Journal of International Development, 24</w:t>
      </w:r>
      <w:r w:rsidRPr="005A0C0E">
        <w:rPr>
          <w:rFonts w:ascii="Calibri" w:hAnsi="Calibri" w:cs="Calibri"/>
          <w:lang w:val="en-US"/>
        </w:rPr>
        <w:t>, S69-S83.</w:t>
      </w:r>
      <w:proofErr w:type="gramEnd"/>
      <w:r w:rsidRPr="005A0C0E">
        <w:rPr>
          <w:rFonts w:ascii="Calibri" w:hAnsi="Calibri" w:cs="Calibri"/>
          <w:lang w:val="en-US"/>
        </w:rPr>
        <w:t xml:space="preserve"> </w:t>
      </w:r>
      <w:bookmarkEnd w:id="5"/>
    </w:p>
    <w:p w:rsidR="00640D79" w:rsidRPr="005A0C0E" w:rsidRDefault="00640D79" w:rsidP="00640D79">
      <w:pPr>
        <w:spacing w:after="0" w:line="240" w:lineRule="auto"/>
        <w:ind w:left="720" w:hanging="720"/>
        <w:rPr>
          <w:rFonts w:ascii="Calibri" w:hAnsi="Calibri" w:cs="Calibri"/>
          <w:lang w:val="en-US"/>
        </w:rPr>
      </w:pPr>
      <w:bookmarkStart w:id="6" w:name="_ENREF_6"/>
      <w:proofErr w:type="spellStart"/>
      <w:proofErr w:type="gramStart"/>
      <w:r w:rsidRPr="003700A2">
        <w:rPr>
          <w:rFonts w:ascii="Calibri" w:hAnsi="Calibri" w:cs="Calibri"/>
          <w:lang w:val="en-US"/>
        </w:rPr>
        <w:t>Bwire</w:t>
      </w:r>
      <w:proofErr w:type="spellEnd"/>
      <w:r w:rsidRPr="003700A2">
        <w:rPr>
          <w:rFonts w:ascii="Calibri" w:hAnsi="Calibri" w:cs="Calibri"/>
          <w:lang w:val="en-US"/>
        </w:rPr>
        <w:t>, F. N., Mukasa, G., &amp; Mersland, R. (2009).</w:t>
      </w:r>
      <w:proofErr w:type="gramEnd"/>
      <w:r w:rsidRPr="003700A2">
        <w:rPr>
          <w:rFonts w:ascii="Calibri" w:hAnsi="Calibri" w:cs="Calibri"/>
          <w:lang w:val="en-US"/>
        </w:rPr>
        <w:t xml:space="preserve"> </w:t>
      </w:r>
      <w:r w:rsidRPr="005A0C0E">
        <w:rPr>
          <w:rFonts w:ascii="Calibri" w:hAnsi="Calibri" w:cs="Calibri"/>
          <w:lang w:val="en-US"/>
        </w:rPr>
        <w:t xml:space="preserve">Access to mainstream microfinance services for persons with disabilities - lessons learned from Uganda. </w:t>
      </w:r>
      <w:r w:rsidRPr="005A0C0E">
        <w:rPr>
          <w:rFonts w:ascii="Calibri" w:hAnsi="Calibri" w:cs="Calibri"/>
          <w:i/>
          <w:lang w:val="en-US"/>
        </w:rPr>
        <w:t>Disability Studies Quarterly, 29</w:t>
      </w:r>
      <w:r w:rsidR="00D86B0C">
        <w:rPr>
          <w:rFonts w:ascii="Calibri" w:hAnsi="Calibri" w:cs="Calibri"/>
          <w:i/>
          <w:lang w:val="en-US"/>
        </w:rPr>
        <w:t>,</w:t>
      </w:r>
      <w:r w:rsidRPr="005A0C0E">
        <w:rPr>
          <w:rFonts w:ascii="Calibri" w:hAnsi="Calibri" w:cs="Calibri"/>
          <w:lang w:val="en-US"/>
        </w:rPr>
        <w:t xml:space="preserve"> </w:t>
      </w:r>
      <w:bookmarkEnd w:id="6"/>
      <w:r w:rsidR="00D86B0C">
        <w:rPr>
          <w:rFonts w:ascii="Calibri" w:hAnsi="Calibri" w:cs="Calibri"/>
          <w:lang w:val="en-US"/>
        </w:rPr>
        <w:fldChar w:fldCharType="begin"/>
      </w:r>
      <w:r w:rsidR="00D86B0C">
        <w:rPr>
          <w:rFonts w:ascii="Calibri" w:hAnsi="Calibri" w:cs="Calibri"/>
          <w:lang w:val="en-US"/>
        </w:rPr>
        <w:instrText xml:space="preserve"> HYPERLINK "</w:instrText>
      </w:r>
      <w:r w:rsidR="00D86B0C" w:rsidRPr="00D86B0C">
        <w:rPr>
          <w:rFonts w:ascii="Calibri" w:hAnsi="Calibri" w:cs="Calibri"/>
          <w:lang w:val="en-US"/>
        </w:rPr>
        <w:instrText>http://dsq-sds.org/article/view/168/168</w:instrText>
      </w:r>
      <w:r w:rsidR="00D86B0C">
        <w:rPr>
          <w:rFonts w:ascii="Calibri" w:hAnsi="Calibri" w:cs="Calibri"/>
          <w:lang w:val="en-US"/>
        </w:rPr>
        <w:instrText xml:space="preserve">" </w:instrText>
      </w:r>
      <w:r w:rsidR="00D86B0C">
        <w:rPr>
          <w:rFonts w:ascii="Calibri" w:hAnsi="Calibri" w:cs="Calibri"/>
          <w:lang w:val="en-US"/>
        </w:rPr>
        <w:fldChar w:fldCharType="separate"/>
      </w:r>
      <w:r w:rsidR="00D86B0C" w:rsidRPr="0005078D">
        <w:rPr>
          <w:rStyle w:val="Hyperkobling"/>
          <w:rFonts w:ascii="Calibri" w:hAnsi="Calibri" w:cs="Calibri"/>
          <w:lang w:val="en-US"/>
        </w:rPr>
        <w:t>http://dsq-sds.org/article/view/168/168</w:t>
      </w:r>
      <w:r w:rsidR="00D86B0C">
        <w:rPr>
          <w:rFonts w:ascii="Calibri" w:hAnsi="Calibri" w:cs="Calibri"/>
          <w:lang w:val="en-US"/>
        </w:rPr>
        <w:fldChar w:fldCharType="end"/>
      </w:r>
      <w:r w:rsidR="00D86B0C">
        <w:rPr>
          <w:rFonts w:ascii="Calibri" w:hAnsi="Calibri" w:cs="Calibri"/>
          <w:lang w:val="en-US"/>
        </w:rPr>
        <w:t xml:space="preserve">. </w:t>
      </w:r>
    </w:p>
    <w:p w:rsidR="00801F8D" w:rsidRPr="005A0C0E" w:rsidRDefault="00801F8D" w:rsidP="00640D79">
      <w:pPr>
        <w:spacing w:after="0" w:line="240" w:lineRule="auto"/>
        <w:ind w:left="720" w:hanging="720"/>
        <w:rPr>
          <w:rFonts w:ascii="Calibri" w:hAnsi="Calibri" w:cs="Calibri"/>
          <w:lang w:val="en-US"/>
        </w:rPr>
      </w:pPr>
      <w:bookmarkStart w:id="7" w:name="_ENREF_7"/>
      <w:proofErr w:type="gramStart"/>
      <w:r w:rsidRPr="005A0C0E">
        <w:rPr>
          <w:rFonts w:ascii="Calibri" w:hAnsi="Calibri" w:cs="Calibri"/>
          <w:lang w:val="en-US"/>
        </w:rPr>
        <w:t xml:space="preserve">Collins, D., </w:t>
      </w:r>
      <w:proofErr w:type="spellStart"/>
      <w:r w:rsidRPr="005A0C0E">
        <w:rPr>
          <w:rFonts w:ascii="Calibri" w:hAnsi="Calibri" w:cs="Calibri"/>
          <w:lang w:val="en-US"/>
        </w:rPr>
        <w:t>Morduch</w:t>
      </w:r>
      <w:proofErr w:type="spellEnd"/>
      <w:r w:rsidRPr="005A0C0E">
        <w:rPr>
          <w:rFonts w:ascii="Calibri" w:hAnsi="Calibri" w:cs="Calibri"/>
          <w:lang w:val="en-US"/>
        </w:rPr>
        <w:t>, J., Rutherford, S. &amp; Ruthven, R. (2009).</w:t>
      </w:r>
      <w:proofErr w:type="gramEnd"/>
      <w:r w:rsidRPr="005A0C0E">
        <w:rPr>
          <w:rFonts w:ascii="Calibri" w:hAnsi="Calibri" w:cs="Calibri"/>
          <w:lang w:val="en-US"/>
        </w:rPr>
        <w:t xml:space="preserve"> Portfolios of the poor: How the World’s poor live on $2 a day. Princeton University Press, NJ, USA.</w:t>
      </w:r>
    </w:p>
    <w:p w:rsidR="00640D79" w:rsidRPr="005A0C0E" w:rsidRDefault="00640D79" w:rsidP="00640D79">
      <w:pPr>
        <w:spacing w:after="0" w:line="240" w:lineRule="auto"/>
        <w:ind w:left="720" w:hanging="720"/>
        <w:rPr>
          <w:rFonts w:ascii="Calibri" w:hAnsi="Calibri" w:cs="Calibri"/>
          <w:lang w:val="en-US"/>
        </w:rPr>
      </w:pPr>
      <w:proofErr w:type="spellStart"/>
      <w:r w:rsidRPr="003700A2">
        <w:rPr>
          <w:rFonts w:ascii="Calibri" w:hAnsi="Calibri" w:cs="Calibri"/>
          <w:lang w:val="en-US"/>
        </w:rPr>
        <w:t>Cramm</w:t>
      </w:r>
      <w:proofErr w:type="spellEnd"/>
      <w:r w:rsidRPr="003700A2">
        <w:rPr>
          <w:rFonts w:ascii="Calibri" w:hAnsi="Calibri" w:cs="Calibri"/>
          <w:lang w:val="en-US"/>
        </w:rPr>
        <w:t xml:space="preserve">, J. M., &amp; </w:t>
      </w:r>
      <w:proofErr w:type="spellStart"/>
      <w:r w:rsidRPr="003700A2">
        <w:rPr>
          <w:rFonts w:ascii="Calibri" w:hAnsi="Calibri" w:cs="Calibri"/>
          <w:lang w:val="en-US"/>
        </w:rPr>
        <w:t>Finkenflugel</w:t>
      </w:r>
      <w:proofErr w:type="spellEnd"/>
      <w:r w:rsidRPr="003700A2">
        <w:rPr>
          <w:rFonts w:ascii="Calibri" w:hAnsi="Calibri" w:cs="Calibri"/>
          <w:lang w:val="en-US"/>
        </w:rPr>
        <w:t xml:space="preserve">, H. (2008). </w:t>
      </w:r>
      <w:r w:rsidRPr="005A0C0E">
        <w:rPr>
          <w:rFonts w:ascii="Calibri" w:hAnsi="Calibri" w:cs="Calibri"/>
          <w:lang w:val="en-US"/>
        </w:rPr>
        <w:t xml:space="preserve">Exclusion of disabled people from microcredit in Africa and Asia: A literature study. </w:t>
      </w:r>
      <w:r w:rsidRPr="005A0C0E">
        <w:rPr>
          <w:rFonts w:ascii="Calibri" w:hAnsi="Calibri" w:cs="Calibri"/>
          <w:i/>
          <w:lang w:val="en-US"/>
        </w:rPr>
        <w:t>Asia Pacific Disability Rehabilitation Journal, 19</w:t>
      </w:r>
      <w:r w:rsidRPr="005A0C0E">
        <w:rPr>
          <w:rFonts w:ascii="Calibri" w:hAnsi="Calibri" w:cs="Calibri"/>
          <w:lang w:val="en-US"/>
        </w:rPr>
        <w:t xml:space="preserve">, 15-33. </w:t>
      </w:r>
      <w:bookmarkEnd w:id="7"/>
    </w:p>
    <w:p w:rsidR="00640D79" w:rsidRPr="005A0C0E" w:rsidRDefault="00640D79" w:rsidP="00640D79">
      <w:pPr>
        <w:spacing w:after="0" w:line="240" w:lineRule="auto"/>
        <w:ind w:left="720" w:hanging="720"/>
        <w:rPr>
          <w:rFonts w:ascii="Calibri" w:hAnsi="Calibri" w:cs="Calibri"/>
          <w:lang w:val="en-US"/>
        </w:rPr>
      </w:pPr>
      <w:bookmarkStart w:id="8" w:name="_ENREF_8"/>
      <w:proofErr w:type="gramStart"/>
      <w:r w:rsidRPr="005A0C0E">
        <w:rPr>
          <w:rFonts w:ascii="Calibri" w:hAnsi="Calibri" w:cs="Calibri"/>
          <w:lang w:val="en-US"/>
        </w:rPr>
        <w:t>de</w:t>
      </w:r>
      <w:proofErr w:type="gramEnd"/>
      <w:r w:rsidRPr="005A0C0E">
        <w:rPr>
          <w:rFonts w:ascii="Calibri" w:hAnsi="Calibri" w:cs="Calibri"/>
          <w:lang w:val="en-US"/>
        </w:rPr>
        <w:t xml:space="preserve"> Klerk, T. (2008). </w:t>
      </w:r>
      <w:proofErr w:type="gramStart"/>
      <w:r w:rsidRPr="005A0C0E">
        <w:rPr>
          <w:rFonts w:ascii="Calibri" w:hAnsi="Calibri" w:cs="Calibri"/>
          <w:lang w:val="en-US"/>
        </w:rPr>
        <w:t>Funding for self-employment of people with disabilities.</w:t>
      </w:r>
      <w:proofErr w:type="gramEnd"/>
      <w:r w:rsidRPr="005A0C0E">
        <w:rPr>
          <w:rFonts w:ascii="Calibri" w:hAnsi="Calibri" w:cs="Calibri"/>
          <w:lang w:val="en-US"/>
        </w:rPr>
        <w:t xml:space="preserve"> Grants, loans, revolving funds or linkage with microfinance </w:t>
      </w:r>
      <w:proofErr w:type="spellStart"/>
      <w:r w:rsidRPr="005A0C0E">
        <w:rPr>
          <w:rFonts w:ascii="Calibri" w:hAnsi="Calibri" w:cs="Calibri"/>
          <w:lang w:val="en-US"/>
        </w:rPr>
        <w:t>programmes</w:t>
      </w:r>
      <w:proofErr w:type="spellEnd"/>
      <w:r w:rsidRPr="005A0C0E">
        <w:rPr>
          <w:rFonts w:ascii="Calibri" w:hAnsi="Calibri" w:cs="Calibri"/>
          <w:lang w:val="en-US"/>
        </w:rPr>
        <w:t xml:space="preserve">. </w:t>
      </w:r>
      <w:r w:rsidRPr="005A0C0E">
        <w:rPr>
          <w:rFonts w:ascii="Calibri" w:hAnsi="Calibri" w:cs="Calibri"/>
          <w:i/>
          <w:lang w:val="en-US"/>
        </w:rPr>
        <w:t>Leprosy Review, 79</w:t>
      </w:r>
      <w:r w:rsidRPr="005A0C0E">
        <w:rPr>
          <w:rFonts w:ascii="Calibri" w:hAnsi="Calibri" w:cs="Calibri"/>
          <w:lang w:val="en-US"/>
        </w:rPr>
        <w:t xml:space="preserve">, 92-109. </w:t>
      </w:r>
      <w:bookmarkEnd w:id="8"/>
    </w:p>
    <w:p w:rsidR="00E02BEE" w:rsidRPr="005A0C0E" w:rsidRDefault="00E02BEE" w:rsidP="00E2381C">
      <w:pPr>
        <w:spacing w:after="0" w:line="240" w:lineRule="auto"/>
        <w:ind w:left="720" w:hanging="720"/>
        <w:rPr>
          <w:rFonts w:ascii="Calibri" w:hAnsi="Calibri" w:cs="Calibri"/>
          <w:lang w:val="en-US"/>
        </w:rPr>
      </w:pPr>
      <w:bookmarkStart w:id="9" w:name="_ENREF_9"/>
      <w:proofErr w:type="spellStart"/>
      <w:proofErr w:type="gramStart"/>
      <w:r w:rsidRPr="005A0C0E">
        <w:rPr>
          <w:rFonts w:ascii="Calibri" w:hAnsi="Calibri" w:cs="Calibri"/>
          <w:lang w:val="en-US"/>
        </w:rPr>
        <w:t>Duvendack</w:t>
      </w:r>
      <w:proofErr w:type="spellEnd"/>
      <w:r w:rsidRPr="005A0C0E">
        <w:rPr>
          <w:rFonts w:ascii="Calibri" w:hAnsi="Calibri" w:cs="Calibri"/>
          <w:lang w:val="en-US"/>
        </w:rPr>
        <w:t xml:space="preserve">, M., Palmer-Jones, R., Copestake, C.G., Hooper, L., </w:t>
      </w:r>
      <w:proofErr w:type="spellStart"/>
      <w:r w:rsidRPr="005A0C0E">
        <w:rPr>
          <w:rFonts w:ascii="Calibri" w:hAnsi="Calibri" w:cs="Calibri"/>
          <w:lang w:val="en-US"/>
        </w:rPr>
        <w:t>Loke</w:t>
      </w:r>
      <w:proofErr w:type="spellEnd"/>
      <w:r w:rsidRPr="005A0C0E">
        <w:rPr>
          <w:rFonts w:ascii="Calibri" w:hAnsi="Calibri" w:cs="Calibri"/>
          <w:lang w:val="en-US"/>
        </w:rPr>
        <w:t>, Y.</w:t>
      </w:r>
      <w:r w:rsidR="00E2381C" w:rsidRPr="005A0C0E">
        <w:rPr>
          <w:rFonts w:ascii="Calibri" w:hAnsi="Calibri" w:cs="Calibri"/>
          <w:lang w:val="en-US"/>
        </w:rPr>
        <w:t xml:space="preserve"> &amp; </w:t>
      </w:r>
      <w:proofErr w:type="spellStart"/>
      <w:r w:rsidR="00E2381C" w:rsidRPr="005A0C0E">
        <w:rPr>
          <w:rFonts w:ascii="Calibri" w:hAnsi="Calibri" w:cs="Calibri"/>
          <w:lang w:val="en-US"/>
        </w:rPr>
        <w:t>Rao</w:t>
      </w:r>
      <w:proofErr w:type="spellEnd"/>
      <w:r w:rsidR="00E2381C" w:rsidRPr="005A0C0E">
        <w:rPr>
          <w:rFonts w:ascii="Calibri" w:hAnsi="Calibri" w:cs="Calibri"/>
          <w:lang w:val="en-US"/>
        </w:rPr>
        <w:t>, N.</w:t>
      </w:r>
      <w:r w:rsidRPr="005A0C0E">
        <w:rPr>
          <w:rFonts w:ascii="Calibri" w:hAnsi="Calibri" w:cs="Calibri"/>
          <w:lang w:val="en-US"/>
        </w:rPr>
        <w:t xml:space="preserve"> (2011).</w:t>
      </w:r>
      <w:proofErr w:type="gramEnd"/>
      <w:r w:rsidRPr="005A0C0E">
        <w:rPr>
          <w:rFonts w:ascii="Calibri" w:hAnsi="Calibri" w:cs="Calibri"/>
          <w:lang w:val="en-US"/>
        </w:rPr>
        <w:t xml:space="preserve"> What is the evidence of the impact of microfinance on the well-being of poor people?</w:t>
      </w:r>
      <w:r w:rsidR="00E2381C" w:rsidRPr="005A0C0E">
        <w:rPr>
          <w:rFonts w:ascii="Calibri" w:hAnsi="Calibri" w:cs="Calibri"/>
          <w:lang w:val="en-US"/>
        </w:rPr>
        <w:t xml:space="preserve"> London: EPPI-Centre, Social Science Research Unit, Institute of Education, University of London, UK.</w:t>
      </w:r>
      <w:r w:rsidRPr="005A0C0E">
        <w:rPr>
          <w:rFonts w:ascii="Calibri" w:hAnsi="Calibri" w:cs="Calibri"/>
          <w:lang w:val="en-US"/>
        </w:rPr>
        <w:t xml:space="preserve"> </w:t>
      </w:r>
    </w:p>
    <w:p w:rsidR="00DD5E08" w:rsidRPr="005A0C0E" w:rsidRDefault="00DD5E08" w:rsidP="00DD5E08">
      <w:pPr>
        <w:spacing w:after="0" w:line="240" w:lineRule="auto"/>
        <w:ind w:left="720" w:hanging="720"/>
        <w:rPr>
          <w:rFonts w:cs="Futura Book"/>
          <w:color w:val="221E1F"/>
          <w:lang w:val="en-US"/>
        </w:rPr>
      </w:pPr>
      <w:r w:rsidRPr="00B624A8">
        <w:rPr>
          <w:color w:val="221E1F"/>
        </w:rPr>
        <w:t xml:space="preserve">Eggen, Ø. and Mersland, R. </w:t>
      </w:r>
      <w:r w:rsidR="00A00DEF">
        <w:rPr>
          <w:color w:val="221E1F"/>
        </w:rPr>
        <w:t>(</w:t>
      </w:r>
      <w:r w:rsidRPr="00B624A8">
        <w:rPr>
          <w:color w:val="221E1F"/>
        </w:rPr>
        <w:t>2007</w:t>
      </w:r>
      <w:r w:rsidR="00A00DEF">
        <w:rPr>
          <w:color w:val="221E1F"/>
        </w:rPr>
        <w:t>)</w:t>
      </w:r>
      <w:r w:rsidRPr="00B624A8">
        <w:rPr>
          <w:color w:val="221E1F"/>
        </w:rPr>
        <w:t xml:space="preserve">. </w:t>
      </w:r>
      <w:r w:rsidRPr="005A0C0E">
        <w:rPr>
          <w:rFonts w:cs="Futura Book"/>
          <w:i/>
          <w:iCs/>
          <w:color w:val="221E1F"/>
          <w:lang w:val="en-US"/>
        </w:rPr>
        <w:t xml:space="preserve">You Cannot Save Alone – Financial and Social </w:t>
      </w:r>
      <w:proofErr w:type="spellStart"/>
      <w:r w:rsidRPr="005A0C0E">
        <w:rPr>
          <w:rFonts w:cs="Futura Book"/>
          <w:i/>
          <w:iCs/>
          <w:color w:val="221E1F"/>
          <w:lang w:val="en-US"/>
        </w:rPr>
        <w:t>Mobilisation</w:t>
      </w:r>
      <w:proofErr w:type="spellEnd"/>
      <w:r w:rsidRPr="005A0C0E">
        <w:rPr>
          <w:rFonts w:cs="Futura Book"/>
          <w:i/>
          <w:iCs/>
          <w:color w:val="221E1F"/>
          <w:lang w:val="en-US"/>
        </w:rPr>
        <w:t xml:space="preserve"> in Savings and Credit Groups. </w:t>
      </w:r>
      <w:proofErr w:type="gramStart"/>
      <w:r w:rsidRPr="005A0C0E">
        <w:rPr>
          <w:rFonts w:cs="Futura Book"/>
          <w:i/>
          <w:iCs/>
          <w:color w:val="221E1F"/>
          <w:lang w:val="en-US"/>
        </w:rPr>
        <w:t>NORAD Report.</w:t>
      </w:r>
      <w:proofErr w:type="gramEnd"/>
      <w:r w:rsidRPr="005A0C0E">
        <w:rPr>
          <w:rFonts w:cs="Futura Book"/>
          <w:i/>
          <w:iCs/>
          <w:color w:val="221E1F"/>
          <w:lang w:val="en-US"/>
        </w:rPr>
        <w:t xml:space="preserve"> </w:t>
      </w:r>
      <w:r w:rsidRPr="005A0C0E">
        <w:rPr>
          <w:rFonts w:cs="Futura Book"/>
          <w:color w:val="221E1F"/>
          <w:lang w:val="en-US"/>
        </w:rPr>
        <w:t>Oslo, Norway: NORAD.</w:t>
      </w:r>
    </w:p>
    <w:p w:rsidR="00640D79" w:rsidRPr="005A0C0E" w:rsidRDefault="00640D79" w:rsidP="00DD5E08">
      <w:pPr>
        <w:spacing w:after="0" w:line="240" w:lineRule="auto"/>
        <w:ind w:left="720" w:hanging="720"/>
        <w:rPr>
          <w:rFonts w:ascii="Calibri" w:hAnsi="Calibri" w:cs="Calibri"/>
          <w:lang w:val="en-US"/>
        </w:rPr>
      </w:pPr>
      <w:r w:rsidRPr="005A0C0E">
        <w:rPr>
          <w:rFonts w:ascii="Calibri" w:hAnsi="Calibri" w:cs="Calibri"/>
          <w:lang w:val="en-US"/>
        </w:rPr>
        <w:t xml:space="preserve">Goldberg, N. (2005). </w:t>
      </w:r>
      <w:proofErr w:type="gramStart"/>
      <w:r w:rsidRPr="005A0C0E">
        <w:rPr>
          <w:rFonts w:ascii="Calibri" w:hAnsi="Calibri" w:cs="Calibri"/>
          <w:lang w:val="en-US"/>
        </w:rPr>
        <w:t>Measuring the impact of microfinance: Taking stock of what we know.</w:t>
      </w:r>
      <w:proofErr w:type="gramEnd"/>
      <w:r w:rsidRPr="005A0C0E">
        <w:rPr>
          <w:rFonts w:ascii="Calibri" w:hAnsi="Calibri" w:cs="Calibri"/>
          <w:lang w:val="en-US"/>
        </w:rPr>
        <w:t xml:space="preserve"> Washington D.C.: </w:t>
      </w:r>
      <w:proofErr w:type="spellStart"/>
      <w:r w:rsidRPr="005A0C0E">
        <w:rPr>
          <w:rFonts w:ascii="Calibri" w:hAnsi="Calibri" w:cs="Calibri"/>
          <w:lang w:val="en-US"/>
        </w:rPr>
        <w:t>Grameen</w:t>
      </w:r>
      <w:proofErr w:type="spellEnd"/>
      <w:r w:rsidRPr="005A0C0E">
        <w:rPr>
          <w:rFonts w:ascii="Calibri" w:hAnsi="Calibri" w:cs="Calibri"/>
          <w:lang w:val="en-US"/>
        </w:rPr>
        <w:t xml:space="preserve"> Foundation USA.</w:t>
      </w:r>
      <w:bookmarkEnd w:id="9"/>
    </w:p>
    <w:p w:rsidR="00640D79" w:rsidRPr="005A0C0E" w:rsidRDefault="00640D79" w:rsidP="00640D79">
      <w:pPr>
        <w:spacing w:after="0" w:line="240" w:lineRule="auto"/>
        <w:ind w:left="720" w:hanging="720"/>
        <w:rPr>
          <w:rFonts w:ascii="Calibri" w:hAnsi="Calibri" w:cs="Calibri"/>
          <w:lang w:val="en-US"/>
        </w:rPr>
      </w:pPr>
      <w:bookmarkStart w:id="10" w:name="_ENREF_10"/>
      <w:proofErr w:type="gramStart"/>
      <w:r w:rsidRPr="005A0C0E">
        <w:rPr>
          <w:rFonts w:ascii="Calibri" w:hAnsi="Calibri" w:cs="Calibri"/>
          <w:lang w:val="en-US"/>
        </w:rPr>
        <w:t>Handicap-International.</w:t>
      </w:r>
      <w:proofErr w:type="gramEnd"/>
      <w:r w:rsidRPr="005A0C0E">
        <w:rPr>
          <w:rFonts w:ascii="Calibri" w:hAnsi="Calibri" w:cs="Calibri"/>
          <w:lang w:val="en-US"/>
        </w:rPr>
        <w:t xml:space="preserve"> </w:t>
      </w:r>
      <w:proofErr w:type="gramStart"/>
      <w:r w:rsidRPr="005A0C0E">
        <w:rPr>
          <w:rFonts w:ascii="Calibri" w:hAnsi="Calibri" w:cs="Calibri"/>
          <w:lang w:val="en-US"/>
        </w:rPr>
        <w:t>(2006). Good practices for the economic inclusion of people with disabilities in developing countries.</w:t>
      </w:r>
      <w:proofErr w:type="gramEnd"/>
      <w:r w:rsidRPr="005A0C0E">
        <w:rPr>
          <w:rFonts w:ascii="Calibri" w:hAnsi="Calibri" w:cs="Calibri"/>
          <w:lang w:val="en-US"/>
        </w:rPr>
        <w:t xml:space="preserve"> Paris: Handicap International.</w:t>
      </w:r>
      <w:bookmarkEnd w:id="10"/>
    </w:p>
    <w:p w:rsidR="00640D79" w:rsidRPr="005A0C0E" w:rsidRDefault="00640D79" w:rsidP="00640D79">
      <w:pPr>
        <w:spacing w:after="0" w:line="240" w:lineRule="auto"/>
        <w:ind w:left="720" w:hanging="720"/>
        <w:rPr>
          <w:rFonts w:ascii="Calibri" w:hAnsi="Calibri" w:cs="Calibri"/>
          <w:lang w:val="en-US"/>
        </w:rPr>
      </w:pPr>
      <w:bookmarkStart w:id="11" w:name="_ENREF_11"/>
      <w:proofErr w:type="gramStart"/>
      <w:r w:rsidRPr="005A0C0E">
        <w:rPr>
          <w:rFonts w:ascii="Calibri" w:hAnsi="Calibri" w:cs="Calibri"/>
          <w:lang w:val="en-US"/>
        </w:rPr>
        <w:t>ILO.</w:t>
      </w:r>
      <w:proofErr w:type="gramEnd"/>
      <w:r w:rsidRPr="005A0C0E">
        <w:rPr>
          <w:rFonts w:ascii="Calibri" w:hAnsi="Calibri" w:cs="Calibri"/>
          <w:lang w:val="en-US"/>
        </w:rPr>
        <w:t xml:space="preserve"> (2002). Disability and Poverty Reduction Strategies - How to ensure that access of persons with disabilities to decent and productive work is part of the PRSP process. Geneva: ILO.</w:t>
      </w:r>
      <w:bookmarkEnd w:id="11"/>
    </w:p>
    <w:p w:rsidR="00801F8D" w:rsidRPr="005A0C0E" w:rsidRDefault="00801F8D" w:rsidP="00640D79">
      <w:pPr>
        <w:spacing w:after="0" w:line="240" w:lineRule="auto"/>
        <w:ind w:left="720" w:hanging="720"/>
        <w:rPr>
          <w:rFonts w:ascii="Calibri" w:hAnsi="Calibri" w:cs="Calibri"/>
          <w:lang w:val="en-US"/>
        </w:rPr>
      </w:pPr>
      <w:bookmarkStart w:id="12" w:name="_ENREF_12"/>
      <w:proofErr w:type="gramStart"/>
      <w:r w:rsidRPr="005A0C0E">
        <w:rPr>
          <w:rFonts w:ascii="Calibri" w:hAnsi="Calibri" w:cs="Calibri"/>
          <w:lang w:val="en-US"/>
        </w:rPr>
        <w:t xml:space="preserve">Imai, K.S., </w:t>
      </w:r>
      <w:proofErr w:type="spellStart"/>
      <w:r w:rsidRPr="005A0C0E">
        <w:rPr>
          <w:rFonts w:ascii="Calibri" w:hAnsi="Calibri" w:cs="Calibri"/>
          <w:lang w:val="en-US"/>
        </w:rPr>
        <w:t>Gaiha</w:t>
      </w:r>
      <w:proofErr w:type="spellEnd"/>
      <w:r w:rsidRPr="005A0C0E">
        <w:rPr>
          <w:rFonts w:ascii="Calibri" w:hAnsi="Calibri" w:cs="Calibri"/>
          <w:lang w:val="en-US"/>
        </w:rPr>
        <w:t xml:space="preserve">, R., </w:t>
      </w:r>
      <w:proofErr w:type="spellStart"/>
      <w:r w:rsidRPr="005A0C0E">
        <w:rPr>
          <w:rFonts w:ascii="Calibri" w:hAnsi="Calibri" w:cs="Calibri"/>
          <w:lang w:val="en-US"/>
        </w:rPr>
        <w:t>Thapa</w:t>
      </w:r>
      <w:proofErr w:type="spellEnd"/>
      <w:r w:rsidRPr="005A0C0E">
        <w:rPr>
          <w:rFonts w:ascii="Calibri" w:hAnsi="Calibri" w:cs="Calibri"/>
          <w:lang w:val="en-US"/>
        </w:rPr>
        <w:t xml:space="preserve">, G. &amp; </w:t>
      </w:r>
      <w:proofErr w:type="spellStart"/>
      <w:r w:rsidRPr="005A0C0E">
        <w:rPr>
          <w:rFonts w:ascii="Calibri" w:hAnsi="Calibri" w:cs="Calibri"/>
          <w:lang w:val="en-US"/>
        </w:rPr>
        <w:t>Annim</w:t>
      </w:r>
      <w:proofErr w:type="spellEnd"/>
      <w:r w:rsidRPr="005A0C0E">
        <w:rPr>
          <w:rFonts w:ascii="Calibri" w:hAnsi="Calibri" w:cs="Calibri"/>
          <w:lang w:val="en-US"/>
        </w:rPr>
        <w:t>, S.K. (2012).</w:t>
      </w:r>
      <w:proofErr w:type="gramEnd"/>
      <w:r w:rsidRPr="005A0C0E">
        <w:rPr>
          <w:rFonts w:ascii="Calibri" w:hAnsi="Calibri" w:cs="Calibri"/>
          <w:lang w:val="en-US"/>
        </w:rPr>
        <w:t xml:space="preserve"> </w:t>
      </w:r>
      <w:proofErr w:type="gramStart"/>
      <w:r w:rsidRPr="005A0C0E">
        <w:rPr>
          <w:rFonts w:ascii="Calibri" w:hAnsi="Calibri" w:cs="Calibri"/>
          <w:lang w:val="en-US"/>
        </w:rPr>
        <w:t>Microfinance and poverty – a macro perspective.</w:t>
      </w:r>
      <w:proofErr w:type="gramEnd"/>
      <w:r w:rsidRPr="005A0C0E">
        <w:rPr>
          <w:rFonts w:ascii="Calibri" w:hAnsi="Calibri" w:cs="Calibri"/>
          <w:lang w:val="en-US"/>
        </w:rPr>
        <w:t xml:space="preserve"> </w:t>
      </w:r>
      <w:r w:rsidRPr="005A0C0E">
        <w:rPr>
          <w:rFonts w:ascii="Calibri" w:hAnsi="Calibri" w:cs="Calibri"/>
          <w:i/>
          <w:lang w:val="en-US"/>
        </w:rPr>
        <w:t>World Development</w:t>
      </w:r>
      <w:proofErr w:type="gramStart"/>
      <w:r w:rsidR="00B9752A" w:rsidRPr="005A0C0E">
        <w:rPr>
          <w:rFonts w:ascii="Calibri" w:hAnsi="Calibri" w:cs="Calibri"/>
          <w:lang w:val="en-US"/>
        </w:rPr>
        <w:t>,</w:t>
      </w:r>
      <w:r w:rsidRPr="005A0C0E">
        <w:rPr>
          <w:rFonts w:ascii="Calibri" w:hAnsi="Calibri" w:cs="Calibri"/>
          <w:i/>
          <w:lang w:val="en-US"/>
        </w:rPr>
        <w:t>40</w:t>
      </w:r>
      <w:proofErr w:type="gramEnd"/>
      <w:r w:rsidRPr="005A0C0E">
        <w:rPr>
          <w:rFonts w:ascii="Calibri" w:hAnsi="Calibri" w:cs="Calibri"/>
          <w:lang w:val="en-US"/>
        </w:rPr>
        <w:t>, 1675-1689.</w:t>
      </w:r>
    </w:p>
    <w:p w:rsidR="00640D79" w:rsidRPr="005A0C0E" w:rsidRDefault="00640D79" w:rsidP="00640D79">
      <w:pPr>
        <w:spacing w:after="0" w:line="240" w:lineRule="auto"/>
        <w:ind w:left="720" w:hanging="720"/>
        <w:rPr>
          <w:rFonts w:ascii="Calibri" w:hAnsi="Calibri" w:cs="Calibri"/>
          <w:lang w:val="en-US"/>
        </w:rPr>
      </w:pPr>
      <w:proofErr w:type="gramStart"/>
      <w:r w:rsidRPr="005A0C0E">
        <w:rPr>
          <w:rFonts w:ascii="Calibri" w:hAnsi="Calibri" w:cs="Calibri"/>
          <w:lang w:val="en-US"/>
        </w:rPr>
        <w:t>Labie, M., Meon, P. G., Mersland, R.</w:t>
      </w:r>
      <w:r w:rsidR="00A00DEF">
        <w:rPr>
          <w:rFonts w:ascii="Calibri" w:hAnsi="Calibri" w:cs="Calibri"/>
          <w:lang w:val="en-US"/>
        </w:rPr>
        <w:t>, &amp; Szafarz, A.</w:t>
      </w:r>
      <w:r w:rsidRPr="005A0C0E">
        <w:rPr>
          <w:rFonts w:ascii="Calibri" w:hAnsi="Calibri" w:cs="Calibri"/>
          <w:lang w:val="en-US"/>
        </w:rPr>
        <w:t xml:space="preserve"> (2010).</w:t>
      </w:r>
      <w:proofErr w:type="gramEnd"/>
      <w:r w:rsidRPr="005A0C0E">
        <w:rPr>
          <w:rFonts w:ascii="Calibri" w:hAnsi="Calibri" w:cs="Calibri"/>
          <w:lang w:val="en-US"/>
        </w:rPr>
        <w:t xml:space="preserve"> Discrimination by Microcredit Officers: Theory and Evidence on Disability in Uganda. </w:t>
      </w:r>
      <w:proofErr w:type="gramStart"/>
      <w:r w:rsidRPr="005A0C0E">
        <w:rPr>
          <w:rFonts w:ascii="Calibri" w:hAnsi="Calibri" w:cs="Calibri"/>
          <w:i/>
          <w:lang w:val="en-US"/>
        </w:rPr>
        <w:t xml:space="preserve">Solvay Brussels School of Economics and Management, Centre Emile </w:t>
      </w:r>
      <w:proofErr w:type="spellStart"/>
      <w:r w:rsidRPr="005A0C0E">
        <w:rPr>
          <w:rFonts w:ascii="Calibri" w:hAnsi="Calibri" w:cs="Calibri"/>
          <w:i/>
          <w:lang w:val="en-US"/>
        </w:rPr>
        <w:t>Bernheim</w:t>
      </w:r>
      <w:proofErr w:type="spellEnd"/>
      <w:r w:rsidRPr="005A0C0E">
        <w:rPr>
          <w:rFonts w:ascii="Calibri" w:hAnsi="Calibri" w:cs="Calibri"/>
          <w:lang w:val="en-US"/>
        </w:rPr>
        <w:t>.</w:t>
      </w:r>
      <w:proofErr w:type="gramEnd"/>
      <w:r w:rsidRPr="005A0C0E">
        <w:rPr>
          <w:rFonts w:ascii="Calibri" w:hAnsi="Calibri" w:cs="Calibri"/>
          <w:lang w:val="en-US"/>
        </w:rPr>
        <w:t xml:space="preserve"> </w:t>
      </w:r>
      <w:bookmarkEnd w:id="12"/>
    </w:p>
    <w:p w:rsidR="00640D79" w:rsidRPr="005A0C0E" w:rsidRDefault="00640D79" w:rsidP="00640D79">
      <w:pPr>
        <w:spacing w:after="0" w:line="240" w:lineRule="auto"/>
        <w:ind w:left="720" w:hanging="720"/>
        <w:rPr>
          <w:rFonts w:ascii="Calibri" w:hAnsi="Calibri" w:cs="Calibri"/>
          <w:lang w:val="en-US"/>
        </w:rPr>
      </w:pPr>
      <w:bookmarkStart w:id="13" w:name="_ENREF_13"/>
      <w:r w:rsidRPr="005A0C0E">
        <w:rPr>
          <w:rFonts w:ascii="Calibri" w:hAnsi="Calibri" w:cs="Calibri"/>
          <w:lang w:val="en-US"/>
        </w:rPr>
        <w:t xml:space="preserve">Lewis, C. (2004). Microfinance from the point of view of women with disabilities: lessons from Zambia and Zimbabwe. </w:t>
      </w:r>
      <w:r w:rsidRPr="005A0C0E">
        <w:rPr>
          <w:rFonts w:ascii="Calibri" w:hAnsi="Calibri" w:cs="Calibri"/>
          <w:i/>
          <w:lang w:val="en-US"/>
        </w:rPr>
        <w:t>Gender and Development, 12</w:t>
      </w:r>
      <w:r w:rsidRPr="005A0C0E">
        <w:rPr>
          <w:rFonts w:ascii="Calibri" w:hAnsi="Calibri" w:cs="Calibri"/>
          <w:lang w:val="en-US"/>
        </w:rPr>
        <w:t xml:space="preserve">, 28-39. </w:t>
      </w:r>
      <w:bookmarkEnd w:id="13"/>
    </w:p>
    <w:p w:rsidR="00640D79" w:rsidRPr="005A0C0E" w:rsidRDefault="00640D79" w:rsidP="00640D79">
      <w:pPr>
        <w:spacing w:after="0" w:line="240" w:lineRule="auto"/>
        <w:ind w:left="720" w:hanging="720"/>
        <w:rPr>
          <w:rFonts w:ascii="Calibri" w:hAnsi="Calibri" w:cs="Calibri"/>
          <w:lang w:val="en-US"/>
        </w:rPr>
      </w:pPr>
      <w:bookmarkStart w:id="14" w:name="_ENREF_14"/>
      <w:proofErr w:type="spellStart"/>
      <w:proofErr w:type="gramStart"/>
      <w:r w:rsidRPr="005A0C0E">
        <w:rPr>
          <w:rFonts w:ascii="Calibri" w:hAnsi="Calibri" w:cs="Calibri"/>
          <w:lang w:val="en-US"/>
        </w:rPr>
        <w:t>Martinelli</w:t>
      </w:r>
      <w:proofErr w:type="spellEnd"/>
      <w:r w:rsidRPr="005A0C0E">
        <w:rPr>
          <w:rFonts w:ascii="Calibri" w:hAnsi="Calibri" w:cs="Calibri"/>
          <w:lang w:val="en-US"/>
        </w:rPr>
        <w:t>, E., &amp; Mersland, R. (2010).</w:t>
      </w:r>
      <w:proofErr w:type="gramEnd"/>
      <w:r w:rsidRPr="005A0C0E">
        <w:rPr>
          <w:rFonts w:ascii="Calibri" w:hAnsi="Calibri" w:cs="Calibri"/>
          <w:lang w:val="en-US"/>
        </w:rPr>
        <w:t xml:space="preserve"> </w:t>
      </w:r>
      <w:proofErr w:type="gramStart"/>
      <w:r w:rsidRPr="005A0C0E">
        <w:rPr>
          <w:rFonts w:ascii="Calibri" w:hAnsi="Calibri" w:cs="Calibri"/>
          <w:lang w:val="en-US"/>
        </w:rPr>
        <w:t>Microfinance for people with disabilities.</w:t>
      </w:r>
      <w:proofErr w:type="gramEnd"/>
      <w:r w:rsidRPr="005A0C0E">
        <w:rPr>
          <w:rFonts w:ascii="Calibri" w:hAnsi="Calibri" w:cs="Calibri"/>
          <w:lang w:val="en-US"/>
        </w:rPr>
        <w:t xml:space="preserve"> </w:t>
      </w:r>
      <w:proofErr w:type="gramStart"/>
      <w:r w:rsidRPr="005A0C0E">
        <w:rPr>
          <w:rFonts w:ascii="Calibri" w:hAnsi="Calibri" w:cs="Calibri"/>
          <w:lang w:val="en-US"/>
        </w:rPr>
        <w:t xml:space="preserve">In T. Barron (Ed.), </w:t>
      </w:r>
      <w:r w:rsidRPr="005A0C0E">
        <w:rPr>
          <w:rFonts w:ascii="Calibri" w:hAnsi="Calibri" w:cs="Calibri"/>
          <w:i/>
          <w:lang w:val="en-US"/>
        </w:rPr>
        <w:t>Poverty and disability</w:t>
      </w:r>
      <w:r w:rsidRPr="005A0C0E">
        <w:rPr>
          <w:rFonts w:ascii="Calibri" w:hAnsi="Calibri" w:cs="Calibri"/>
          <w:lang w:val="en-US"/>
        </w:rPr>
        <w:t>.</w:t>
      </w:r>
      <w:proofErr w:type="gramEnd"/>
      <w:r w:rsidRPr="005A0C0E">
        <w:rPr>
          <w:rFonts w:ascii="Calibri" w:hAnsi="Calibri" w:cs="Calibri"/>
          <w:lang w:val="en-US"/>
        </w:rPr>
        <w:t xml:space="preserve"> London: Leonard Cheshire International.</w:t>
      </w:r>
      <w:bookmarkEnd w:id="14"/>
    </w:p>
    <w:p w:rsidR="00E2145D" w:rsidRPr="005A0C0E" w:rsidRDefault="00E2145D" w:rsidP="00640D79">
      <w:pPr>
        <w:spacing w:after="0" w:line="240" w:lineRule="auto"/>
        <w:ind w:left="720" w:hanging="720"/>
        <w:rPr>
          <w:rFonts w:ascii="Calibri" w:hAnsi="Calibri" w:cs="Calibri"/>
          <w:lang w:val="en-US"/>
        </w:rPr>
      </w:pPr>
      <w:bookmarkStart w:id="15" w:name="_ENREF_15"/>
      <w:r w:rsidRPr="00B624A8">
        <w:rPr>
          <w:rFonts w:ascii="Calibri" w:hAnsi="Calibri" w:cs="Calibri"/>
        </w:rPr>
        <w:t>Mersland, R., &amp; Strøm, R.Ø., (201</w:t>
      </w:r>
      <w:r w:rsidR="00D10453">
        <w:rPr>
          <w:rFonts w:ascii="Calibri" w:hAnsi="Calibri" w:cs="Calibri"/>
        </w:rPr>
        <w:t>2</w:t>
      </w:r>
      <w:r w:rsidRPr="00B624A8">
        <w:rPr>
          <w:rFonts w:ascii="Calibri" w:hAnsi="Calibri" w:cs="Calibri"/>
        </w:rPr>
        <w:t xml:space="preserve">). </w:t>
      </w:r>
      <w:proofErr w:type="gramStart"/>
      <w:r w:rsidRPr="005A0C0E">
        <w:rPr>
          <w:rFonts w:ascii="Calibri" w:hAnsi="Calibri" w:cs="Calibri"/>
          <w:lang w:val="en-US"/>
        </w:rPr>
        <w:t>The past and future of innovations in Microfinance.</w:t>
      </w:r>
      <w:proofErr w:type="gramEnd"/>
      <w:r w:rsidRPr="005A0C0E">
        <w:rPr>
          <w:rFonts w:ascii="Calibri" w:hAnsi="Calibri" w:cs="Calibri"/>
          <w:lang w:val="en-US"/>
        </w:rPr>
        <w:t xml:space="preserve"> In D. Cumming (Ed.), </w:t>
      </w:r>
      <w:proofErr w:type="gramStart"/>
      <w:r w:rsidRPr="005A0C0E">
        <w:rPr>
          <w:rFonts w:ascii="Calibri" w:hAnsi="Calibri" w:cs="Calibri"/>
          <w:i/>
          <w:lang w:val="en-US"/>
        </w:rPr>
        <w:t>The</w:t>
      </w:r>
      <w:proofErr w:type="gramEnd"/>
      <w:r w:rsidRPr="005A0C0E">
        <w:rPr>
          <w:rFonts w:ascii="Calibri" w:hAnsi="Calibri" w:cs="Calibri"/>
          <w:i/>
          <w:lang w:val="en-US"/>
        </w:rPr>
        <w:t xml:space="preserve"> Oxford Handbook of </w:t>
      </w:r>
      <w:proofErr w:type="spellStart"/>
      <w:r w:rsidRPr="005A0C0E">
        <w:rPr>
          <w:rFonts w:ascii="Calibri" w:hAnsi="Calibri" w:cs="Calibri"/>
          <w:i/>
          <w:lang w:val="en-US"/>
        </w:rPr>
        <w:t>Entreprenuerial</w:t>
      </w:r>
      <w:proofErr w:type="spellEnd"/>
      <w:r w:rsidRPr="005A0C0E">
        <w:rPr>
          <w:rFonts w:ascii="Calibri" w:hAnsi="Calibri" w:cs="Calibri"/>
          <w:i/>
          <w:lang w:val="en-US"/>
        </w:rPr>
        <w:t xml:space="preserve"> Finance</w:t>
      </w:r>
      <w:r w:rsidRPr="005A0C0E">
        <w:rPr>
          <w:rFonts w:ascii="Calibri" w:hAnsi="Calibri" w:cs="Calibri"/>
          <w:lang w:val="en-US"/>
        </w:rPr>
        <w:t>. Oxford University Press, New York, USA.</w:t>
      </w:r>
    </w:p>
    <w:p w:rsidR="00640D79" w:rsidRPr="005A0C0E" w:rsidRDefault="00640D79" w:rsidP="00640D79">
      <w:pPr>
        <w:spacing w:after="0" w:line="240" w:lineRule="auto"/>
        <w:ind w:left="720" w:hanging="720"/>
        <w:rPr>
          <w:rFonts w:ascii="Calibri" w:hAnsi="Calibri" w:cs="Calibri"/>
          <w:lang w:val="en-US"/>
        </w:rPr>
      </w:pPr>
      <w:bookmarkStart w:id="16" w:name="_ENREF_16"/>
      <w:bookmarkEnd w:id="15"/>
      <w:proofErr w:type="spellStart"/>
      <w:r w:rsidRPr="005A0C0E">
        <w:rPr>
          <w:rFonts w:ascii="Calibri" w:hAnsi="Calibri" w:cs="Calibri"/>
          <w:lang w:val="en-US"/>
        </w:rPr>
        <w:lastRenderedPageBreak/>
        <w:t>Ormazabal</w:t>
      </w:r>
      <w:proofErr w:type="spellEnd"/>
      <w:r w:rsidRPr="005A0C0E">
        <w:rPr>
          <w:rFonts w:ascii="Calibri" w:hAnsi="Calibri" w:cs="Calibri"/>
          <w:lang w:val="en-US"/>
        </w:rPr>
        <w:t xml:space="preserve">, I. (2010). </w:t>
      </w:r>
      <w:r w:rsidRPr="005A0C0E">
        <w:rPr>
          <w:rFonts w:ascii="Calibri" w:hAnsi="Calibri" w:cs="Calibri"/>
          <w:i/>
          <w:lang w:val="en-US"/>
        </w:rPr>
        <w:t xml:space="preserve">Microfinance and Disability: do persons with disabilities contribute to the double bottom line of MFIs? </w:t>
      </w:r>
      <w:proofErr w:type="gramStart"/>
      <w:r w:rsidRPr="005A0C0E">
        <w:rPr>
          <w:rFonts w:ascii="Calibri" w:hAnsi="Calibri" w:cs="Calibri"/>
          <w:i/>
          <w:lang w:val="en-US"/>
        </w:rPr>
        <w:t>Key factors for success stories - a case study in Bamako.</w:t>
      </w:r>
      <w:proofErr w:type="gramEnd"/>
      <w:r w:rsidRPr="005A0C0E">
        <w:rPr>
          <w:rFonts w:ascii="Calibri" w:hAnsi="Calibri" w:cs="Calibri"/>
          <w:lang w:val="en-US"/>
        </w:rPr>
        <w:t xml:space="preserve"> Master Thesis - Solvay Brussels School of Economics and Management.   </w:t>
      </w:r>
      <w:bookmarkEnd w:id="16"/>
    </w:p>
    <w:p w:rsidR="00640D79" w:rsidRPr="005A0C0E" w:rsidRDefault="00640D79" w:rsidP="00640D79">
      <w:pPr>
        <w:spacing w:after="0" w:line="240" w:lineRule="auto"/>
        <w:ind w:left="720" w:hanging="720"/>
        <w:rPr>
          <w:rFonts w:ascii="Calibri" w:hAnsi="Calibri" w:cs="Calibri"/>
          <w:lang w:val="en-US"/>
        </w:rPr>
      </w:pPr>
      <w:bookmarkStart w:id="17" w:name="_ENREF_17"/>
      <w:r w:rsidRPr="005A0C0E">
        <w:rPr>
          <w:rFonts w:ascii="Calibri" w:hAnsi="Calibri" w:cs="Calibri"/>
          <w:lang w:val="en-US"/>
        </w:rPr>
        <w:t>Rosenberg, R. (2010). Does microcredit really help poor people? Washington D.C.: Focus Note, CGAP.</w:t>
      </w:r>
      <w:bookmarkEnd w:id="17"/>
    </w:p>
    <w:p w:rsidR="00640D79" w:rsidRPr="005A0C0E" w:rsidRDefault="00640D79" w:rsidP="00640D79">
      <w:pPr>
        <w:spacing w:after="0" w:line="240" w:lineRule="auto"/>
        <w:ind w:left="720" w:hanging="720"/>
        <w:rPr>
          <w:rFonts w:ascii="Calibri" w:hAnsi="Calibri" w:cs="Calibri"/>
          <w:lang w:val="en-US"/>
        </w:rPr>
      </w:pPr>
      <w:bookmarkStart w:id="18" w:name="_ENREF_18"/>
      <w:proofErr w:type="spellStart"/>
      <w:r w:rsidRPr="005A0C0E">
        <w:rPr>
          <w:rFonts w:ascii="Calibri" w:hAnsi="Calibri" w:cs="Calibri"/>
          <w:lang w:val="en-US"/>
        </w:rPr>
        <w:t>Simanowitz</w:t>
      </w:r>
      <w:proofErr w:type="spellEnd"/>
      <w:r w:rsidRPr="005A0C0E">
        <w:rPr>
          <w:rFonts w:ascii="Calibri" w:hAnsi="Calibri" w:cs="Calibri"/>
          <w:lang w:val="en-US"/>
        </w:rPr>
        <w:t xml:space="preserve">, A. (2001). Thematic report No. 4: Microfinance for the Poorest - A review of issues and ideas for contribution of Imp-Act </w:t>
      </w:r>
      <w:r w:rsidRPr="005A0C0E">
        <w:rPr>
          <w:rFonts w:ascii="Calibri" w:hAnsi="Calibri" w:cs="Calibri"/>
          <w:i/>
          <w:lang w:val="en-US"/>
        </w:rPr>
        <w:t>Improving the impact of microfinance on poverty Imp-Act</w:t>
      </w:r>
      <w:r w:rsidRPr="005A0C0E">
        <w:rPr>
          <w:rFonts w:ascii="Calibri" w:hAnsi="Calibri" w:cs="Calibri"/>
          <w:lang w:val="en-US"/>
        </w:rPr>
        <w:t>. Brighton, UK.</w:t>
      </w:r>
      <w:bookmarkEnd w:id="18"/>
    </w:p>
    <w:p w:rsidR="00640D79" w:rsidRPr="005A0C0E" w:rsidRDefault="00640D79" w:rsidP="00640D79">
      <w:pPr>
        <w:spacing w:after="0" w:line="240" w:lineRule="auto"/>
        <w:ind w:left="720" w:hanging="720"/>
        <w:rPr>
          <w:rFonts w:ascii="Calibri" w:hAnsi="Calibri" w:cs="Calibri"/>
          <w:lang w:val="en-US"/>
        </w:rPr>
      </w:pPr>
      <w:bookmarkStart w:id="19" w:name="_ENREF_19"/>
      <w:proofErr w:type="gramStart"/>
      <w:r w:rsidRPr="005A0C0E">
        <w:rPr>
          <w:rFonts w:ascii="Calibri" w:hAnsi="Calibri" w:cs="Calibri"/>
          <w:lang w:val="en-US"/>
        </w:rPr>
        <w:t>Thomas, M. (2000).</w:t>
      </w:r>
      <w:proofErr w:type="gramEnd"/>
      <w:r w:rsidRPr="005A0C0E">
        <w:rPr>
          <w:rFonts w:ascii="Calibri" w:hAnsi="Calibri" w:cs="Calibri"/>
          <w:lang w:val="en-US"/>
        </w:rPr>
        <w:t xml:space="preserve"> Feasibility of integrating people with disabilities in savings and credit </w:t>
      </w:r>
      <w:proofErr w:type="spellStart"/>
      <w:r w:rsidRPr="005A0C0E">
        <w:rPr>
          <w:rFonts w:ascii="Calibri" w:hAnsi="Calibri" w:cs="Calibri"/>
          <w:lang w:val="en-US"/>
        </w:rPr>
        <w:t>programmes</w:t>
      </w:r>
      <w:proofErr w:type="spellEnd"/>
      <w:r w:rsidRPr="005A0C0E">
        <w:rPr>
          <w:rFonts w:ascii="Calibri" w:hAnsi="Calibri" w:cs="Calibri"/>
          <w:lang w:val="en-US"/>
        </w:rPr>
        <w:t xml:space="preserve"> in Bangladesh. </w:t>
      </w:r>
      <w:r w:rsidRPr="005A0C0E">
        <w:rPr>
          <w:rFonts w:ascii="Calibri" w:hAnsi="Calibri" w:cs="Calibri"/>
          <w:i/>
          <w:lang w:val="en-US"/>
        </w:rPr>
        <w:t>Asia Pacific Disability Rehabilitation Journal, 11</w:t>
      </w:r>
      <w:r w:rsidR="00D86B0C">
        <w:rPr>
          <w:rFonts w:ascii="Calibri" w:hAnsi="Calibri" w:cs="Calibri"/>
          <w:i/>
          <w:lang w:val="en-US"/>
        </w:rPr>
        <w:t xml:space="preserve">, </w:t>
      </w:r>
      <w:r w:rsidR="00D86B0C" w:rsidRPr="00D86B0C">
        <w:rPr>
          <w:rFonts w:ascii="Calibri" w:hAnsi="Calibri" w:cs="Calibri"/>
          <w:lang w:val="en-US"/>
        </w:rPr>
        <w:t>27-31</w:t>
      </w:r>
      <w:r w:rsidRPr="005A0C0E">
        <w:rPr>
          <w:rFonts w:ascii="Calibri" w:hAnsi="Calibri" w:cs="Calibri"/>
          <w:lang w:val="en-US"/>
        </w:rPr>
        <w:t xml:space="preserve">. </w:t>
      </w:r>
      <w:bookmarkEnd w:id="19"/>
    </w:p>
    <w:p w:rsidR="00A54675" w:rsidRPr="005A0C0E" w:rsidRDefault="00640D79" w:rsidP="00640D79">
      <w:pPr>
        <w:spacing w:line="240" w:lineRule="auto"/>
        <w:ind w:left="720" w:hanging="720"/>
        <w:rPr>
          <w:lang w:val="en-US"/>
        </w:rPr>
      </w:pPr>
      <w:bookmarkStart w:id="20" w:name="_ENREF_20"/>
      <w:proofErr w:type="gramStart"/>
      <w:r w:rsidRPr="005A0C0E">
        <w:rPr>
          <w:rFonts w:ascii="Calibri" w:hAnsi="Calibri" w:cs="Calibri"/>
          <w:lang w:val="en-US"/>
        </w:rPr>
        <w:t>United-Nations.</w:t>
      </w:r>
      <w:proofErr w:type="gramEnd"/>
      <w:r w:rsidRPr="005A0C0E">
        <w:rPr>
          <w:rFonts w:ascii="Calibri" w:hAnsi="Calibri" w:cs="Calibri"/>
          <w:lang w:val="en-US"/>
        </w:rPr>
        <w:t xml:space="preserve"> </w:t>
      </w:r>
      <w:proofErr w:type="gramStart"/>
      <w:r w:rsidRPr="005A0C0E">
        <w:rPr>
          <w:rFonts w:ascii="Calibri" w:hAnsi="Calibri" w:cs="Calibri"/>
          <w:lang w:val="en-US"/>
        </w:rPr>
        <w:t>(2008). Convention on the rights of persons with disabilities.</w:t>
      </w:r>
      <w:proofErr w:type="gramEnd"/>
      <w:r w:rsidRPr="005A0C0E">
        <w:rPr>
          <w:rFonts w:ascii="Calibri" w:hAnsi="Calibri" w:cs="Calibri"/>
          <w:lang w:val="en-US"/>
        </w:rPr>
        <w:t xml:space="preserve"> New York: United Nations.</w:t>
      </w:r>
      <w:bookmarkEnd w:id="20"/>
    </w:p>
    <w:p w:rsidR="00A54675" w:rsidRPr="005A0C0E" w:rsidRDefault="00A54675">
      <w:pPr>
        <w:rPr>
          <w:lang w:val="en-US"/>
        </w:rPr>
      </w:pPr>
      <w:r w:rsidRPr="005A0C0E">
        <w:rPr>
          <w:lang w:val="en-US"/>
        </w:rPr>
        <w:br w:type="page"/>
      </w:r>
    </w:p>
    <w:p w:rsidR="001847D9" w:rsidRPr="005A0C0E" w:rsidRDefault="001847D9" w:rsidP="004E05EF">
      <w:pPr>
        <w:spacing w:line="480" w:lineRule="auto"/>
        <w:rPr>
          <w:b/>
          <w:lang w:val="en-US"/>
        </w:rPr>
      </w:pPr>
      <w:r w:rsidRPr="005A0C0E">
        <w:rPr>
          <w:b/>
          <w:lang w:val="en-US"/>
        </w:rPr>
        <w:lastRenderedPageBreak/>
        <w:t>Figure 1: Disability type and access to microfinance</w:t>
      </w:r>
    </w:p>
    <w:p w:rsidR="001847D9" w:rsidRPr="005A0C0E" w:rsidRDefault="00DA686B" w:rsidP="004E05EF">
      <w:pPr>
        <w:spacing w:line="480" w:lineRule="auto"/>
        <w:rPr>
          <w:lang w:val="en-US"/>
        </w:rPr>
      </w:pPr>
      <w:r w:rsidRPr="005A0C0E">
        <w:rPr>
          <w:noProof/>
          <w:lang w:eastAsia="nb-NO"/>
        </w:rPr>
        <w:drawing>
          <wp:inline distT="0" distB="0" distL="0" distR="0" wp14:anchorId="4E859914" wp14:editId="764E863B">
            <wp:extent cx="4572000" cy="2743200"/>
            <wp:effectExtent l="0" t="0" r="19050" b="19050"/>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A0087" w:rsidRPr="005A0C0E" w:rsidRDefault="003A0087" w:rsidP="00DA686B">
      <w:pPr>
        <w:spacing w:line="240" w:lineRule="auto"/>
        <w:rPr>
          <w:b/>
          <w:lang w:val="en-US"/>
        </w:rPr>
      </w:pPr>
      <w:r w:rsidRPr="005A0C0E">
        <w:rPr>
          <w:b/>
          <w:lang w:val="en-US"/>
        </w:rPr>
        <w:t>Figure 2: Barriers to microfinance – The customer perspective</w:t>
      </w:r>
    </w:p>
    <w:p w:rsidR="003A0087" w:rsidRPr="005A0C0E" w:rsidRDefault="00AB7F2B" w:rsidP="00DA686B">
      <w:pPr>
        <w:spacing w:line="240" w:lineRule="auto"/>
        <w:rPr>
          <w:lang w:val="en-US"/>
        </w:rPr>
      </w:pPr>
      <w:r w:rsidRPr="005A0C0E">
        <w:rPr>
          <w:noProof/>
          <w:lang w:eastAsia="nb-NO"/>
        </w:rPr>
        <w:drawing>
          <wp:inline distT="0" distB="0" distL="0" distR="0" wp14:anchorId="3D8069D7" wp14:editId="02691FDF">
            <wp:extent cx="4572000" cy="2743200"/>
            <wp:effectExtent l="0" t="0" r="19050" b="19050"/>
            <wp:docPr id="2"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B609F" w:rsidRPr="005A0C0E" w:rsidRDefault="006B609F" w:rsidP="00DA686B">
      <w:pPr>
        <w:spacing w:line="240" w:lineRule="auto"/>
        <w:rPr>
          <w:lang w:val="en-US"/>
        </w:rPr>
      </w:pPr>
    </w:p>
    <w:p w:rsidR="006B609F" w:rsidRPr="005A0C0E" w:rsidRDefault="006B609F" w:rsidP="00695793">
      <w:pPr>
        <w:rPr>
          <w:b/>
          <w:lang w:val="en-US"/>
        </w:rPr>
      </w:pPr>
      <w:r w:rsidRPr="005A0C0E">
        <w:rPr>
          <w:b/>
          <w:lang w:val="en-US"/>
        </w:rPr>
        <w:t>Figure 3: The importance of human, social and financial capitals for enterprise development</w:t>
      </w:r>
    </w:p>
    <w:tbl>
      <w:tblPr>
        <w:tblStyle w:val="Tabellrutenett"/>
        <w:tblW w:w="0" w:type="auto"/>
        <w:tblLook w:val="04A0" w:firstRow="1" w:lastRow="0" w:firstColumn="1" w:lastColumn="0" w:noHBand="0" w:noVBand="1"/>
      </w:tblPr>
      <w:tblGrid>
        <w:gridCol w:w="2093"/>
        <w:gridCol w:w="3544"/>
        <w:gridCol w:w="3575"/>
      </w:tblGrid>
      <w:tr w:rsidR="006B609F" w:rsidRPr="008F52AA">
        <w:tc>
          <w:tcPr>
            <w:tcW w:w="2093" w:type="dxa"/>
          </w:tcPr>
          <w:p w:rsidR="006B609F" w:rsidRPr="005A0C0E" w:rsidRDefault="006B609F" w:rsidP="00695793">
            <w:pPr>
              <w:rPr>
                <w:b/>
                <w:color w:val="221E1F"/>
                <w:sz w:val="21"/>
                <w:szCs w:val="21"/>
                <w:lang w:val="en-US"/>
              </w:rPr>
            </w:pPr>
            <w:r w:rsidRPr="005A0C0E">
              <w:rPr>
                <w:b/>
                <w:color w:val="221E1F"/>
                <w:sz w:val="21"/>
                <w:szCs w:val="21"/>
                <w:lang w:val="en-US"/>
              </w:rPr>
              <w:t>SITUATION TODAY</w:t>
            </w:r>
          </w:p>
        </w:tc>
        <w:tc>
          <w:tcPr>
            <w:tcW w:w="3544" w:type="dxa"/>
          </w:tcPr>
          <w:p w:rsidR="006B609F" w:rsidRPr="005A0C0E" w:rsidRDefault="006B609F" w:rsidP="00695793">
            <w:pPr>
              <w:rPr>
                <w:b/>
                <w:color w:val="221E1F"/>
                <w:sz w:val="21"/>
                <w:szCs w:val="21"/>
                <w:lang w:val="en-US"/>
              </w:rPr>
            </w:pPr>
            <w:r w:rsidRPr="005A0C0E">
              <w:rPr>
                <w:b/>
                <w:color w:val="221E1F"/>
                <w:sz w:val="21"/>
                <w:szCs w:val="21"/>
                <w:lang w:val="en-US"/>
              </w:rPr>
              <w:t>High level of human and social capital</w:t>
            </w:r>
          </w:p>
        </w:tc>
        <w:tc>
          <w:tcPr>
            <w:tcW w:w="3575" w:type="dxa"/>
          </w:tcPr>
          <w:p w:rsidR="006B609F" w:rsidRPr="005A0C0E" w:rsidRDefault="006B609F" w:rsidP="00695793">
            <w:pPr>
              <w:rPr>
                <w:b/>
                <w:color w:val="221E1F"/>
                <w:sz w:val="21"/>
                <w:szCs w:val="21"/>
                <w:lang w:val="en-US"/>
              </w:rPr>
            </w:pPr>
            <w:r w:rsidRPr="005A0C0E">
              <w:rPr>
                <w:b/>
                <w:color w:val="221E1F"/>
                <w:sz w:val="21"/>
                <w:szCs w:val="21"/>
                <w:lang w:val="en-US"/>
              </w:rPr>
              <w:t>Low level of human and social capital</w:t>
            </w:r>
          </w:p>
        </w:tc>
      </w:tr>
      <w:tr w:rsidR="006B609F" w:rsidRPr="008F52AA">
        <w:tc>
          <w:tcPr>
            <w:tcW w:w="2093" w:type="dxa"/>
          </w:tcPr>
          <w:p w:rsidR="006B609F" w:rsidRPr="005A0C0E" w:rsidRDefault="006B609F" w:rsidP="00695793">
            <w:pPr>
              <w:rPr>
                <w:b/>
                <w:color w:val="221E1F"/>
                <w:sz w:val="21"/>
                <w:szCs w:val="21"/>
                <w:lang w:val="en-US"/>
              </w:rPr>
            </w:pPr>
            <w:r w:rsidRPr="005A0C0E">
              <w:rPr>
                <w:b/>
                <w:color w:val="221E1F"/>
                <w:sz w:val="21"/>
                <w:szCs w:val="21"/>
                <w:lang w:val="en-US"/>
              </w:rPr>
              <w:t>Easy access to microcredit</w:t>
            </w:r>
          </w:p>
        </w:tc>
        <w:tc>
          <w:tcPr>
            <w:tcW w:w="3544" w:type="dxa"/>
          </w:tcPr>
          <w:p w:rsidR="006B609F" w:rsidRPr="005A0C0E" w:rsidRDefault="006B609F" w:rsidP="00695793">
            <w:pPr>
              <w:rPr>
                <w:color w:val="221E1F"/>
                <w:sz w:val="21"/>
                <w:szCs w:val="21"/>
                <w:lang w:val="en-US"/>
              </w:rPr>
            </w:pPr>
            <w:r w:rsidRPr="005A0C0E">
              <w:rPr>
                <w:rStyle w:val="A10"/>
                <w:rFonts w:cstheme="minorBidi"/>
                <w:lang w:val="en-US"/>
              </w:rPr>
              <w:t xml:space="preserve">Successful entrepreneurs </w:t>
            </w:r>
            <w:r w:rsidR="00A11E40" w:rsidRPr="005A0C0E">
              <w:rPr>
                <w:rStyle w:val="A10"/>
                <w:rFonts w:cstheme="minorBidi"/>
                <w:lang w:val="en-US"/>
              </w:rPr>
              <w:t>that can be r</w:t>
            </w:r>
            <w:r w:rsidRPr="005A0C0E">
              <w:rPr>
                <w:rStyle w:val="A10"/>
                <w:rFonts w:cstheme="minorBidi"/>
                <w:lang w:val="en-US"/>
              </w:rPr>
              <w:t>ole models for others</w:t>
            </w:r>
          </w:p>
        </w:tc>
        <w:tc>
          <w:tcPr>
            <w:tcW w:w="3575" w:type="dxa"/>
          </w:tcPr>
          <w:p w:rsidR="006B609F" w:rsidRPr="005A0C0E" w:rsidRDefault="006B609F" w:rsidP="00695793">
            <w:pPr>
              <w:rPr>
                <w:color w:val="221E1F"/>
                <w:sz w:val="21"/>
                <w:szCs w:val="21"/>
                <w:lang w:val="en-US"/>
              </w:rPr>
            </w:pPr>
            <w:r w:rsidRPr="005A0C0E">
              <w:rPr>
                <w:rStyle w:val="A10"/>
                <w:rFonts w:cstheme="minorBidi"/>
                <w:lang w:val="en-US"/>
              </w:rPr>
              <w:t>Existing access to credit may have negative impact for the customer</w:t>
            </w:r>
          </w:p>
        </w:tc>
      </w:tr>
      <w:tr w:rsidR="006B609F" w:rsidRPr="008F52AA">
        <w:tc>
          <w:tcPr>
            <w:tcW w:w="2093" w:type="dxa"/>
          </w:tcPr>
          <w:p w:rsidR="006B609F" w:rsidRPr="005A0C0E" w:rsidRDefault="006B609F" w:rsidP="00695793">
            <w:pPr>
              <w:rPr>
                <w:b/>
                <w:sz w:val="21"/>
                <w:szCs w:val="21"/>
                <w:lang w:val="en-US"/>
              </w:rPr>
            </w:pPr>
            <w:r w:rsidRPr="005A0C0E">
              <w:rPr>
                <w:b/>
                <w:sz w:val="21"/>
                <w:szCs w:val="21"/>
                <w:lang w:val="en-US"/>
              </w:rPr>
              <w:t>Lack access to microcredit</w:t>
            </w:r>
          </w:p>
        </w:tc>
        <w:tc>
          <w:tcPr>
            <w:tcW w:w="3544" w:type="dxa"/>
          </w:tcPr>
          <w:p w:rsidR="006B609F" w:rsidRPr="005A0C0E" w:rsidRDefault="006B609F" w:rsidP="00695793">
            <w:pPr>
              <w:rPr>
                <w:sz w:val="21"/>
                <w:szCs w:val="21"/>
                <w:lang w:val="en-US"/>
              </w:rPr>
            </w:pPr>
            <w:r w:rsidRPr="005A0C0E">
              <w:rPr>
                <w:rStyle w:val="A10"/>
                <w:rFonts w:cstheme="minorBidi"/>
                <w:color w:val="auto"/>
                <w:lang w:val="en-US"/>
              </w:rPr>
              <w:t>Access to credit will often have immediate positive business impact</w:t>
            </w:r>
          </w:p>
        </w:tc>
        <w:tc>
          <w:tcPr>
            <w:tcW w:w="3575" w:type="dxa"/>
          </w:tcPr>
          <w:p w:rsidR="006B609F" w:rsidRPr="005A0C0E" w:rsidRDefault="006B609F" w:rsidP="00695793">
            <w:pPr>
              <w:rPr>
                <w:sz w:val="21"/>
                <w:szCs w:val="21"/>
                <w:lang w:val="en-US"/>
              </w:rPr>
            </w:pPr>
            <w:r w:rsidRPr="005A0C0E">
              <w:rPr>
                <w:rStyle w:val="A10"/>
                <w:rFonts w:cstheme="minorBidi"/>
                <w:color w:val="auto"/>
                <w:lang w:val="en-US"/>
              </w:rPr>
              <w:t>Need combined inputs of huma</w:t>
            </w:r>
            <w:r w:rsidR="00D86B0C">
              <w:rPr>
                <w:rStyle w:val="A10"/>
                <w:rFonts w:cstheme="minorBidi"/>
                <w:color w:val="auto"/>
                <w:lang w:val="en-US"/>
              </w:rPr>
              <w:t>n, social and financial capital</w:t>
            </w:r>
          </w:p>
        </w:tc>
      </w:tr>
    </w:tbl>
    <w:p w:rsidR="006B609F" w:rsidRPr="005A0C0E" w:rsidRDefault="006B609F" w:rsidP="00695793">
      <w:pPr>
        <w:spacing w:line="240" w:lineRule="auto"/>
        <w:rPr>
          <w:lang w:val="en-US"/>
        </w:rPr>
      </w:pPr>
    </w:p>
    <w:sectPr w:rsidR="006B609F" w:rsidRPr="005A0C0E" w:rsidSect="00C21A74">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037" w:rsidRDefault="000E5037" w:rsidP="001D2446">
      <w:pPr>
        <w:spacing w:after="0" w:line="240" w:lineRule="auto"/>
      </w:pPr>
      <w:r>
        <w:separator/>
      </w:r>
    </w:p>
  </w:endnote>
  <w:endnote w:type="continuationSeparator" w:id="0">
    <w:p w:rsidR="000E5037" w:rsidRDefault="000E5037" w:rsidP="001D2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utura Book">
    <w:altName w:val="Futura Book"/>
    <w:panose1 w:val="00000000000000000000"/>
    <w:charset w:val="00"/>
    <w:family w:val="swiss"/>
    <w:notTrueType/>
    <w:pitch w:val="default"/>
    <w:sig w:usb0="00000003" w:usb1="00000000" w:usb2="00000000" w:usb3="00000000" w:csb0="00000001" w:csb1="00000000"/>
  </w:font>
  <w:font w:name="Meiryo">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8826215"/>
      <w:docPartObj>
        <w:docPartGallery w:val="Page Numbers (Bottom of Page)"/>
        <w:docPartUnique/>
      </w:docPartObj>
    </w:sdtPr>
    <w:sdtEndPr/>
    <w:sdtContent>
      <w:p w:rsidR="000E5037" w:rsidRDefault="000E5037">
        <w:pPr>
          <w:pStyle w:val="Bunntekst"/>
          <w:jc w:val="right"/>
        </w:pPr>
        <w:r>
          <w:fldChar w:fldCharType="begin"/>
        </w:r>
        <w:r>
          <w:instrText>PAGE   \* MERGEFORMAT</w:instrText>
        </w:r>
        <w:r>
          <w:fldChar w:fldCharType="separate"/>
        </w:r>
        <w:r w:rsidR="008F52AA">
          <w:rPr>
            <w:noProof/>
          </w:rPr>
          <w:t>1</w:t>
        </w:r>
        <w:r>
          <w:rPr>
            <w:noProof/>
          </w:rPr>
          <w:fldChar w:fldCharType="end"/>
        </w:r>
      </w:p>
    </w:sdtContent>
  </w:sdt>
  <w:p w:rsidR="000E5037" w:rsidRDefault="000E5037">
    <w:pPr>
      <w:pStyle w:val="Bunntekst"/>
    </w:pPr>
  </w:p>
  <w:p w:rsidR="000E5037" w:rsidRDefault="000E5037"/>
  <w:p w:rsidR="000E5037" w:rsidRDefault="000E503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037" w:rsidRDefault="000E5037" w:rsidP="001D2446">
      <w:pPr>
        <w:spacing w:after="0" w:line="240" w:lineRule="auto"/>
      </w:pPr>
      <w:r>
        <w:separator/>
      </w:r>
    </w:p>
  </w:footnote>
  <w:footnote w:type="continuationSeparator" w:id="0">
    <w:p w:rsidR="000E5037" w:rsidRDefault="000E5037" w:rsidP="001D2446">
      <w:pPr>
        <w:spacing w:after="0" w:line="240" w:lineRule="auto"/>
      </w:pPr>
      <w:r>
        <w:continuationSeparator/>
      </w:r>
    </w:p>
  </w:footnote>
  <w:footnote w:id="1">
    <w:p w:rsidR="000E5037" w:rsidRPr="00B624A8" w:rsidRDefault="000E5037">
      <w:pPr>
        <w:pStyle w:val="Fotnotetekst"/>
        <w:rPr>
          <w:lang w:val="en-US"/>
        </w:rPr>
      </w:pPr>
      <w:r>
        <w:rPr>
          <w:rStyle w:val="Fotnotereferanse"/>
        </w:rPr>
        <w:footnoteRef/>
      </w:r>
      <w:r w:rsidRPr="00B624A8">
        <w:rPr>
          <w:lang w:val="en-US"/>
        </w:rPr>
        <w:t xml:space="preserve"> Roy Mersland has worked as a consultant for the Norwegian Association of Disabled in their efforts in Uganda and elsewhere. </w:t>
      </w:r>
    </w:p>
  </w:footnote>
  <w:footnote w:id="2">
    <w:p w:rsidR="000E5037" w:rsidRPr="00B624A8" w:rsidRDefault="000E5037">
      <w:pPr>
        <w:pStyle w:val="Fotnotetekst"/>
        <w:rPr>
          <w:lang w:val="en-US"/>
        </w:rPr>
      </w:pPr>
      <w:r>
        <w:rPr>
          <w:rStyle w:val="Fotnotereferanse"/>
        </w:rPr>
        <w:footnoteRef/>
      </w:r>
      <w:r w:rsidRPr="00B624A8">
        <w:rPr>
          <w:lang w:val="en-US"/>
        </w:rPr>
        <w:t xml:space="preserve"> In a ROSCA, a</w:t>
      </w:r>
      <w:r w:rsidRPr="0078061C">
        <w:rPr>
          <w:lang w:val="en-GB"/>
        </w:rPr>
        <w:t xml:space="preserve"> group of 15-30 people pool their savings weekly or monthly. These savings are distributed as grants or loans among</w:t>
      </w:r>
      <w:r>
        <w:rPr>
          <w:lang w:val="en-GB"/>
        </w:rPr>
        <w:t xml:space="preserve"> the members in a rotating system.</w:t>
      </w:r>
      <w:r w:rsidRPr="00AB768F">
        <w:rPr>
          <w:lang w:val="en-GB"/>
        </w:rPr>
        <w:t xml:space="preserve"> </w:t>
      </w:r>
      <w:r>
        <w:rPr>
          <w:lang w:val="en-GB"/>
        </w:rPr>
        <w:t xml:space="preserve">ROSCAs </w:t>
      </w:r>
      <w:r w:rsidRPr="0078061C">
        <w:rPr>
          <w:lang w:val="en-GB"/>
        </w:rPr>
        <w:t>have been around for centuries and exist in virtually every developing country including Uganda (</w:t>
      </w:r>
      <w:proofErr w:type="spellStart"/>
      <w:r w:rsidRPr="0078061C">
        <w:rPr>
          <w:lang w:val="en-GB"/>
        </w:rPr>
        <w:t>Bouman</w:t>
      </w:r>
      <w:proofErr w:type="spellEnd"/>
      <w:r>
        <w:rPr>
          <w:lang w:val="en-GB"/>
        </w:rPr>
        <w:t>,</w:t>
      </w:r>
      <w:r w:rsidRPr="0078061C">
        <w:rPr>
          <w:lang w:val="en-GB"/>
        </w:rPr>
        <w:t xml:space="preserve"> 1995).</w:t>
      </w:r>
    </w:p>
  </w:footnote>
  <w:footnote w:id="3">
    <w:p w:rsidR="000E5037" w:rsidRPr="00B624A8" w:rsidRDefault="000E5037">
      <w:pPr>
        <w:pStyle w:val="Fotnotetekst"/>
        <w:rPr>
          <w:lang w:val="en-US"/>
        </w:rPr>
      </w:pPr>
      <w:r>
        <w:rPr>
          <w:rStyle w:val="Fotnotereferanse"/>
        </w:rPr>
        <w:footnoteRef/>
      </w:r>
      <w:r w:rsidRPr="00B624A8">
        <w:rPr>
          <w:lang w:val="en-US"/>
        </w:rPr>
        <w:t xml:space="preserve"> One of the authors (Roy Mersland) has served as a consultant for this project, and the results reported here come from his personal contact with the project officers and donor representatives. </w:t>
      </w:r>
    </w:p>
  </w:footnote>
  <w:footnote w:id="4">
    <w:p w:rsidR="000E5037" w:rsidRPr="00B624A8" w:rsidRDefault="000E5037">
      <w:pPr>
        <w:pStyle w:val="Fotnotetekst"/>
        <w:rPr>
          <w:lang w:val="en-US"/>
        </w:rPr>
      </w:pPr>
      <w:r>
        <w:rPr>
          <w:rStyle w:val="Fotnotereferanse"/>
        </w:rPr>
        <w:footnoteRef/>
      </w:r>
      <w:r w:rsidRPr="00B624A8">
        <w:rPr>
          <w:lang w:val="en-US"/>
        </w:rPr>
        <w:t xml:space="preserve"> Roy Mersland is a board member at </w:t>
      </w:r>
      <w:proofErr w:type="spellStart"/>
      <w:r w:rsidRPr="00B624A8">
        <w:rPr>
          <w:lang w:val="en-US"/>
        </w:rPr>
        <w:t>Banco</w:t>
      </w:r>
      <w:proofErr w:type="spellEnd"/>
      <w:r w:rsidRPr="00B624A8">
        <w:rPr>
          <w:lang w:val="en-US"/>
        </w:rPr>
        <w:t xml:space="preserve"> D-MIRO.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D3EEE"/>
    <w:multiLevelType w:val="hybridMultilevel"/>
    <w:tmpl w:val="FF5032E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4CFA4F82"/>
    <w:multiLevelType w:val="hybridMultilevel"/>
    <w:tmpl w:val="1FB023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Aria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Arial"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Arial"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631"/>
    <w:rsid w:val="00003A37"/>
    <w:rsid w:val="00003ACF"/>
    <w:rsid w:val="00005FB1"/>
    <w:rsid w:val="00017EEC"/>
    <w:rsid w:val="00020331"/>
    <w:rsid w:val="00022778"/>
    <w:rsid w:val="0002430B"/>
    <w:rsid w:val="00033930"/>
    <w:rsid w:val="00035B5E"/>
    <w:rsid w:val="000526FD"/>
    <w:rsid w:val="00054C04"/>
    <w:rsid w:val="00064539"/>
    <w:rsid w:val="000652F3"/>
    <w:rsid w:val="00066745"/>
    <w:rsid w:val="00071254"/>
    <w:rsid w:val="0007201A"/>
    <w:rsid w:val="0007379F"/>
    <w:rsid w:val="00082ACD"/>
    <w:rsid w:val="000A2181"/>
    <w:rsid w:val="000A3776"/>
    <w:rsid w:val="000B3FA3"/>
    <w:rsid w:val="000B5ABF"/>
    <w:rsid w:val="000C3E06"/>
    <w:rsid w:val="000C5F21"/>
    <w:rsid w:val="000C6162"/>
    <w:rsid w:val="000C6556"/>
    <w:rsid w:val="000C722E"/>
    <w:rsid w:val="000C7BB1"/>
    <w:rsid w:val="000D7146"/>
    <w:rsid w:val="000E4AE7"/>
    <w:rsid w:val="000E5037"/>
    <w:rsid w:val="000E79FD"/>
    <w:rsid w:val="000F26FC"/>
    <w:rsid w:val="000F33EF"/>
    <w:rsid w:val="001037C0"/>
    <w:rsid w:val="001049D4"/>
    <w:rsid w:val="00105D2A"/>
    <w:rsid w:val="00105F3B"/>
    <w:rsid w:val="00116905"/>
    <w:rsid w:val="001464E2"/>
    <w:rsid w:val="001529C7"/>
    <w:rsid w:val="001576FB"/>
    <w:rsid w:val="00162175"/>
    <w:rsid w:val="00182C48"/>
    <w:rsid w:val="00182F71"/>
    <w:rsid w:val="001847D9"/>
    <w:rsid w:val="0018494B"/>
    <w:rsid w:val="001A1272"/>
    <w:rsid w:val="001A20A6"/>
    <w:rsid w:val="001A764F"/>
    <w:rsid w:val="001B2B18"/>
    <w:rsid w:val="001B65AE"/>
    <w:rsid w:val="001B6C4A"/>
    <w:rsid w:val="001B72D9"/>
    <w:rsid w:val="001C1384"/>
    <w:rsid w:val="001C322D"/>
    <w:rsid w:val="001D2446"/>
    <w:rsid w:val="001D2AC7"/>
    <w:rsid w:val="001D4DA4"/>
    <w:rsid w:val="001D710A"/>
    <w:rsid w:val="001E0EDE"/>
    <w:rsid w:val="001E7208"/>
    <w:rsid w:val="001E76EB"/>
    <w:rsid w:val="001F137C"/>
    <w:rsid w:val="0020050B"/>
    <w:rsid w:val="002027A9"/>
    <w:rsid w:val="0020346A"/>
    <w:rsid w:val="0021084A"/>
    <w:rsid w:val="00210AA3"/>
    <w:rsid w:val="00210E0F"/>
    <w:rsid w:val="00215DA3"/>
    <w:rsid w:val="00232E63"/>
    <w:rsid w:val="0023506E"/>
    <w:rsid w:val="002502B0"/>
    <w:rsid w:val="00250481"/>
    <w:rsid w:val="00250893"/>
    <w:rsid w:val="00252DF2"/>
    <w:rsid w:val="00253B82"/>
    <w:rsid w:val="00254280"/>
    <w:rsid w:val="00254F69"/>
    <w:rsid w:val="002571D7"/>
    <w:rsid w:val="00260549"/>
    <w:rsid w:val="00270BC1"/>
    <w:rsid w:val="00272FEF"/>
    <w:rsid w:val="00281970"/>
    <w:rsid w:val="002835CF"/>
    <w:rsid w:val="002873C7"/>
    <w:rsid w:val="00295C1B"/>
    <w:rsid w:val="00296577"/>
    <w:rsid w:val="00296B74"/>
    <w:rsid w:val="002B2956"/>
    <w:rsid w:val="002B4B25"/>
    <w:rsid w:val="002B4C7C"/>
    <w:rsid w:val="002B587A"/>
    <w:rsid w:val="002C6869"/>
    <w:rsid w:val="002E1167"/>
    <w:rsid w:val="002E5874"/>
    <w:rsid w:val="002E6C7A"/>
    <w:rsid w:val="002F6C53"/>
    <w:rsid w:val="00305B14"/>
    <w:rsid w:val="00310B11"/>
    <w:rsid w:val="00312351"/>
    <w:rsid w:val="003144B4"/>
    <w:rsid w:val="00320747"/>
    <w:rsid w:val="0032306D"/>
    <w:rsid w:val="00323473"/>
    <w:rsid w:val="00323724"/>
    <w:rsid w:val="00331C42"/>
    <w:rsid w:val="0033399E"/>
    <w:rsid w:val="003365E9"/>
    <w:rsid w:val="0034349F"/>
    <w:rsid w:val="00345CDE"/>
    <w:rsid w:val="00347EC6"/>
    <w:rsid w:val="00356C17"/>
    <w:rsid w:val="003700A2"/>
    <w:rsid w:val="00372A12"/>
    <w:rsid w:val="00373378"/>
    <w:rsid w:val="003773B7"/>
    <w:rsid w:val="0038304C"/>
    <w:rsid w:val="0038309E"/>
    <w:rsid w:val="00383A1C"/>
    <w:rsid w:val="00393C8A"/>
    <w:rsid w:val="0039668C"/>
    <w:rsid w:val="003A0087"/>
    <w:rsid w:val="003A059B"/>
    <w:rsid w:val="003A1AE6"/>
    <w:rsid w:val="003A314E"/>
    <w:rsid w:val="003A33B6"/>
    <w:rsid w:val="003A450B"/>
    <w:rsid w:val="003B402F"/>
    <w:rsid w:val="003C3C7E"/>
    <w:rsid w:val="003D5587"/>
    <w:rsid w:val="003F1AEF"/>
    <w:rsid w:val="003F29B3"/>
    <w:rsid w:val="00400E6A"/>
    <w:rsid w:val="0040106E"/>
    <w:rsid w:val="00403250"/>
    <w:rsid w:val="00415EDA"/>
    <w:rsid w:val="00431631"/>
    <w:rsid w:val="00434094"/>
    <w:rsid w:val="00434B9C"/>
    <w:rsid w:val="00436A9F"/>
    <w:rsid w:val="00447434"/>
    <w:rsid w:val="004478B0"/>
    <w:rsid w:val="00456C03"/>
    <w:rsid w:val="00457F0A"/>
    <w:rsid w:val="00470168"/>
    <w:rsid w:val="00470335"/>
    <w:rsid w:val="00476326"/>
    <w:rsid w:val="004768D2"/>
    <w:rsid w:val="00482A70"/>
    <w:rsid w:val="00490034"/>
    <w:rsid w:val="00490C7F"/>
    <w:rsid w:val="00492503"/>
    <w:rsid w:val="00492EB4"/>
    <w:rsid w:val="004A3923"/>
    <w:rsid w:val="004A3A21"/>
    <w:rsid w:val="004A4878"/>
    <w:rsid w:val="004A5E0A"/>
    <w:rsid w:val="004B0490"/>
    <w:rsid w:val="004B5252"/>
    <w:rsid w:val="004B76E7"/>
    <w:rsid w:val="004C1B57"/>
    <w:rsid w:val="004C4AE6"/>
    <w:rsid w:val="004C4F11"/>
    <w:rsid w:val="004C56C7"/>
    <w:rsid w:val="004C7A87"/>
    <w:rsid w:val="004D21F3"/>
    <w:rsid w:val="004D63A2"/>
    <w:rsid w:val="004D769C"/>
    <w:rsid w:val="004E05EF"/>
    <w:rsid w:val="004E3B54"/>
    <w:rsid w:val="004E4673"/>
    <w:rsid w:val="004F443E"/>
    <w:rsid w:val="00502886"/>
    <w:rsid w:val="005033EC"/>
    <w:rsid w:val="005041E3"/>
    <w:rsid w:val="00504716"/>
    <w:rsid w:val="00505510"/>
    <w:rsid w:val="0050599C"/>
    <w:rsid w:val="0051579E"/>
    <w:rsid w:val="00520F88"/>
    <w:rsid w:val="005247F9"/>
    <w:rsid w:val="00531486"/>
    <w:rsid w:val="00533FD2"/>
    <w:rsid w:val="00534D46"/>
    <w:rsid w:val="00535E9E"/>
    <w:rsid w:val="00554EBA"/>
    <w:rsid w:val="00555651"/>
    <w:rsid w:val="00561913"/>
    <w:rsid w:val="00562621"/>
    <w:rsid w:val="00566023"/>
    <w:rsid w:val="005718D9"/>
    <w:rsid w:val="00576689"/>
    <w:rsid w:val="00577008"/>
    <w:rsid w:val="005841DA"/>
    <w:rsid w:val="00597306"/>
    <w:rsid w:val="005A097B"/>
    <w:rsid w:val="005A0C0E"/>
    <w:rsid w:val="005A194B"/>
    <w:rsid w:val="005A2F48"/>
    <w:rsid w:val="005A4269"/>
    <w:rsid w:val="005A5B8C"/>
    <w:rsid w:val="005A6468"/>
    <w:rsid w:val="005C147F"/>
    <w:rsid w:val="005C192D"/>
    <w:rsid w:val="005D4703"/>
    <w:rsid w:val="005D5403"/>
    <w:rsid w:val="005D5EE4"/>
    <w:rsid w:val="005E096A"/>
    <w:rsid w:val="005E1DE7"/>
    <w:rsid w:val="005E1E96"/>
    <w:rsid w:val="005E2C6D"/>
    <w:rsid w:val="005E3D5F"/>
    <w:rsid w:val="005E6B3E"/>
    <w:rsid w:val="005F0C86"/>
    <w:rsid w:val="005F2BB0"/>
    <w:rsid w:val="005F5AC6"/>
    <w:rsid w:val="00606918"/>
    <w:rsid w:val="00611993"/>
    <w:rsid w:val="006130AE"/>
    <w:rsid w:val="00621C01"/>
    <w:rsid w:val="0062550D"/>
    <w:rsid w:val="00625BFF"/>
    <w:rsid w:val="00630270"/>
    <w:rsid w:val="00632D5A"/>
    <w:rsid w:val="00635A92"/>
    <w:rsid w:val="0063777D"/>
    <w:rsid w:val="00640D79"/>
    <w:rsid w:val="00641571"/>
    <w:rsid w:val="006423FE"/>
    <w:rsid w:val="006440A0"/>
    <w:rsid w:val="0065521C"/>
    <w:rsid w:val="006565BA"/>
    <w:rsid w:val="006601AB"/>
    <w:rsid w:val="00660629"/>
    <w:rsid w:val="00663BC0"/>
    <w:rsid w:val="006646D5"/>
    <w:rsid w:val="00664B83"/>
    <w:rsid w:val="0066772C"/>
    <w:rsid w:val="00667943"/>
    <w:rsid w:val="006714AB"/>
    <w:rsid w:val="00675077"/>
    <w:rsid w:val="00675339"/>
    <w:rsid w:val="00680249"/>
    <w:rsid w:val="006828F0"/>
    <w:rsid w:val="00683FF2"/>
    <w:rsid w:val="006857FE"/>
    <w:rsid w:val="006865CD"/>
    <w:rsid w:val="0068779B"/>
    <w:rsid w:val="00693794"/>
    <w:rsid w:val="00695793"/>
    <w:rsid w:val="006A0900"/>
    <w:rsid w:val="006A1F91"/>
    <w:rsid w:val="006B609F"/>
    <w:rsid w:val="006C6E8D"/>
    <w:rsid w:val="006D0F79"/>
    <w:rsid w:val="006D5D0A"/>
    <w:rsid w:val="006E1D44"/>
    <w:rsid w:val="006E4853"/>
    <w:rsid w:val="006E71B1"/>
    <w:rsid w:val="006F2207"/>
    <w:rsid w:val="006F47EB"/>
    <w:rsid w:val="00704F7A"/>
    <w:rsid w:val="00712490"/>
    <w:rsid w:val="0071690C"/>
    <w:rsid w:val="00721E26"/>
    <w:rsid w:val="0073053E"/>
    <w:rsid w:val="00730DE1"/>
    <w:rsid w:val="007348DE"/>
    <w:rsid w:val="00736BE9"/>
    <w:rsid w:val="00742AE7"/>
    <w:rsid w:val="00750BE1"/>
    <w:rsid w:val="00750C1C"/>
    <w:rsid w:val="007727F2"/>
    <w:rsid w:val="0077326C"/>
    <w:rsid w:val="007833D6"/>
    <w:rsid w:val="00787BB4"/>
    <w:rsid w:val="00790D6D"/>
    <w:rsid w:val="007957B0"/>
    <w:rsid w:val="007B1FB1"/>
    <w:rsid w:val="007B4C35"/>
    <w:rsid w:val="007B6944"/>
    <w:rsid w:val="007B70F7"/>
    <w:rsid w:val="007B72B4"/>
    <w:rsid w:val="007C533E"/>
    <w:rsid w:val="007C71B1"/>
    <w:rsid w:val="007D767D"/>
    <w:rsid w:val="007E005F"/>
    <w:rsid w:val="007E018C"/>
    <w:rsid w:val="007E1A86"/>
    <w:rsid w:val="007E1E90"/>
    <w:rsid w:val="007F1986"/>
    <w:rsid w:val="007F1BE6"/>
    <w:rsid w:val="007F4F83"/>
    <w:rsid w:val="007F7BE3"/>
    <w:rsid w:val="00800032"/>
    <w:rsid w:val="00800371"/>
    <w:rsid w:val="00801F8D"/>
    <w:rsid w:val="00802D07"/>
    <w:rsid w:val="0080774D"/>
    <w:rsid w:val="0081331F"/>
    <w:rsid w:val="00827E18"/>
    <w:rsid w:val="008301FF"/>
    <w:rsid w:val="008328BF"/>
    <w:rsid w:val="00834EDA"/>
    <w:rsid w:val="0084280F"/>
    <w:rsid w:val="00851145"/>
    <w:rsid w:val="0085126C"/>
    <w:rsid w:val="00872C0F"/>
    <w:rsid w:val="00873833"/>
    <w:rsid w:val="00873854"/>
    <w:rsid w:val="0088351E"/>
    <w:rsid w:val="008844BF"/>
    <w:rsid w:val="00884533"/>
    <w:rsid w:val="00890D31"/>
    <w:rsid w:val="008939B9"/>
    <w:rsid w:val="008972D4"/>
    <w:rsid w:val="008A110A"/>
    <w:rsid w:val="008A2AE1"/>
    <w:rsid w:val="008A56BD"/>
    <w:rsid w:val="008B2728"/>
    <w:rsid w:val="008B74B0"/>
    <w:rsid w:val="008C03F4"/>
    <w:rsid w:val="008C05D0"/>
    <w:rsid w:val="008C17BC"/>
    <w:rsid w:val="008C19F2"/>
    <w:rsid w:val="008C5573"/>
    <w:rsid w:val="008D59E8"/>
    <w:rsid w:val="008D5FBF"/>
    <w:rsid w:val="008E258A"/>
    <w:rsid w:val="008E5AF7"/>
    <w:rsid w:val="008F1AD3"/>
    <w:rsid w:val="008F52AA"/>
    <w:rsid w:val="008F662E"/>
    <w:rsid w:val="00904019"/>
    <w:rsid w:val="009125F9"/>
    <w:rsid w:val="0091412E"/>
    <w:rsid w:val="0091506E"/>
    <w:rsid w:val="00922272"/>
    <w:rsid w:val="0092717B"/>
    <w:rsid w:val="009312FF"/>
    <w:rsid w:val="0093251F"/>
    <w:rsid w:val="00935345"/>
    <w:rsid w:val="009440A2"/>
    <w:rsid w:val="00950A1D"/>
    <w:rsid w:val="00950C16"/>
    <w:rsid w:val="00951C59"/>
    <w:rsid w:val="009549FD"/>
    <w:rsid w:val="00957B3B"/>
    <w:rsid w:val="00960EE7"/>
    <w:rsid w:val="00961289"/>
    <w:rsid w:val="0096555D"/>
    <w:rsid w:val="00974ECE"/>
    <w:rsid w:val="00976F66"/>
    <w:rsid w:val="00984DBC"/>
    <w:rsid w:val="0098714E"/>
    <w:rsid w:val="00992629"/>
    <w:rsid w:val="00992C57"/>
    <w:rsid w:val="009A15DB"/>
    <w:rsid w:val="009A30DC"/>
    <w:rsid w:val="009A4B2C"/>
    <w:rsid w:val="009A7933"/>
    <w:rsid w:val="009B4367"/>
    <w:rsid w:val="009C0A78"/>
    <w:rsid w:val="009C4E3C"/>
    <w:rsid w:val="009C5EDF"/>
    <w:rsid w:val="009C740C"/>
    <w:rsid w:val="009D1CD3"/>
    <w:rsid w:val="009D33C6"/>
    <w:rsid w:val="009D7EBB"/>
    <w:rsid w:val="009E3E4B"/>
    <w:rsid w:val="009F6F37"/>
    <w:rsid w:val="00A00DEF"/>
    <w:rsid w:val="00A06190"/>
    <w:rsid w:val="00A06DDF"/>
    <w:rsid w:val="00A07814"/>
    <w:rsid w:val="00A11E40"/>
    <w:rsid w:val="00A11E7C"/>
    <w:rsid w:val="00A15EBB"/>
    <w:rsid w:val="00A20562"/>
    <w:rsid w:val="00A26488"/>
    <w:rsid w:val="00A2723D"/>
    <w:rsid w:val="00A360AF"/>
    <w:rsid w:val="00A3695C"/>
    <w:rsid w:val="00A41E1B"/>
    <w:rsid w:val="00A51B71"/>
    <w:rsid w:val="00A52813"/>
    <w:rsid w:val="00A528C0"/>
    <w:rsid w:val="00A5371D"/>
    <w:rsid w:val="00A54675"/>
    <w:rsid w:val="00A60FC6"/>
    <w:rsid w:val="00A64F23"/>
    <w:rsid w:val="00A659D6"/>
    <w:rsid w:val="00A67E92"/>
    <w:rsid w:val="00A86E2A"/>
    <w:rsid w:val="00A94680"/>
    <w:rsid w:val="00AA0A2A"/>
    <w:rsid w:val="00AA5B3A"/>
    <w:rsid w:val="00AB3249"/>
    <w:rsid w:val="00AB69AA"/>
    <w:rsid w:val="00AB768F"/>
    <w:rsid w:val="00AB7F2B"/>
    <w:rsid w:val="00AC0425"/>
    <w:rsid w:val="00AC2BA4"/>
    <w:rsid w:val="00AC38CD"/>
    <w:rsid w:val="00AC4134"/>
    <w:rsid w:val="00AC6221"/>
    <w:rsid w:val="00AD31FF"/>
    <w:rsid w:val="00AD412D"/>
    <w:rsid w:val="00AD4580"/>
    <w:rsid w:val="00AE0237"/>
    <w:rsid w:val="00AE5227"/>
    <w:rsid w:val="00AF43FD"/>
    <w:rsid w:val="00B023B0"/>
    <w:rsid w:val="00B04AF9"/>
    <w:rsid w:val="00B06677"/>
    <w:rsid w:val="00B13C90"/>
    <w:rsid w:val="00B140E1"/>
    <w:rsid w:val="00B16AC8"/>
    <w:rsid w:val="00B207A6"/>
    <w:rsid w:val="00B2128F"/>
    <w:rsid w:val="00B22EB1"/>
    <w:rsid w:val="00B232EF"/>
    <w:rsid w:val="00B30401"/>
    <w:rsid w:val="00B30648"/>
    <w:rsid w:val="00B31DC5"/>
    <w:rsid w:val="00B3424F"/>
    <w:rsid w:val="00B34A42"/>
    <w:rsid w:val="00B34E51"/>
    <w:rsid w:val="00B3556D"/>
    <w:rsid w:val="00B36605"/>
    <w:rsid w:val="00B379D9"/>
    <w:rsid w:val="00B40B1E"/>
    <w:rsid w:val="00B410F7"/>
    <w:rsid w:val="00B41555"/>
    <w:rsid w:val="00B42B19"/>
    <w:rsid w:val="00B47B6F"/>
    <w:rsid w:val="00B56C29"/>
    <w:rsid w:val="00B57F64"/>
    <w:rsid w:val="00B624A8"/>
    <w:rsid w:val="00B63BD8"/>
    <w:rsid w:val="00B67897"/>
    <w:rsid w:val="00B67A17"/>
    <w:rsid w:val="00B71E65"/>
    <w:rsid w:val="00B74A89"/>
    <w:rsid w:val="00B75F7D"/>
    <w:rsid w:val="00B77DA4"/>
    <w:rsid w:val="00B8611E"/>
    <w:rsid w:val="00B9752A"/>
    <w:rsid w:val="00BA35B7"/>
    <w:rsid w:val="00BA3D3D"/>
    <w:rsid w:val="00BB071B"/>
    <w:rsid w:val="00BB3B32"/>
    <w:rsid w:val="00BB4FA5"/>
    <w:rsid w:val="00BC1CBD"/>
    <w:rsid w:val="00BD3A25"/>
    <w:rsid w:val="00BE1E77"/>
    <w:rsid w:val="00BE4EA4"/>
    <w:rsid w:val="00BF5678"/>
    <w:rsid w:val="00BF6400"/>
    <w:rsid w:val="00C00990"/>
    <w:rsid w:val="00C0283F"/>
    <w:rsid w:val="00C03FD2"/>
    <w:rsid w:val="00C207C0"/>
    <w:rsid w:val="00C21A74"/>
    <w:rsid w:val="00C21AF7"/>
    <w:rsid w:val="00C25186"/>
    <w:rsid w:val="00C27E8C"/>
    <w:rsid w:val="00C3110E"/>
    <w:rsid w:val="00C45228"/>
    <w:rsid w:val="00C537D3"/>
    <w:rsid w:val="00C63BDD"/>
    <w:rsid w:val="00C662D8"/>
    <w:rsid w:val="00C7562A"/>
    <w:rsid w:val="00C92346"/>
    <w:rsid w:val="00CA5163"/>
    <w:rsid w:val="00CB3F7C"/>
    <w:rsid w:val="00CC11E7"/>
    <w:rsid w:val="00CC2201"/>
    <w:rsid w:val="00CD23FF"/>
    <w:rsid w:val="00CD2620"/>
    <w:rsid w:val="00CE378D"/>
    <w:rsid w:val="00CE3EAB"/>
    <w:rsid w:val="00CE43ED"/>
    <w:rsid w:val="00CE4F67"/>
    <w:rsid w:val="00CE5188"/>
    <w:rsid w:val="00CF41F1"/>
    <w:rsid w:val="00CF4D3E"/>
    <w:rsid w:val="00CF662D"/>
    <w:rsid w:val="00CF7D3E"/>
    <w:rsid w:val="00D03091"/>
    <w:rsid w:val="00D03D89"/>
    <w:rsid w:val="00D044E1"/>
    <w:rsid w:val="00D05F10"/>
    <w:rsid w:val="00D067C5"/>
    <w:rsid w:val="00D10453"/>
    <w:rsid w:val="00D132D0"/>
    <w:rsid w:val="00D14B78"/>
    <w:rsid w:val="00D20E11"/>
    <w:rsid w:val="00D266B3"/>
    <w:rsid w:val="00D26A2C"/>
    <w:rsid w:val="00D45A7E"/>
    <w:rsid w:val="00D53D81"/>
    <w:rsid w:val="00D541B2"/>
    <w:rsid w:val="00D56F9D"/>
    <w:rsid w:val="00D603E7"/>
    <w:rsid w:val="00D60CD7"/>
    <w:rsid w:val="00D70E16"/>
    <w:rsid w:val="00D77562"/>
    <w:rsid w:val="00D81C03"/>
    <w:rsid w:val="00D833E9"/>
    <w:rsid w:val="00D838C2"/>
    <w:rsid w:val="00D86B0C"/>
    <w:rsid w:val="00D87AA8"/>
    <w:rsid w:val="00D9156D"/>
    <w:rsid w:val="00D930CF"/>
    <w:rsid w:val="00D93850"/>
    <w:rsid w:val="00D96984"/>
    <w:rsid w:val="00D96EFD"/>
    <w:rsid w:val="00DA19BB"/>
    <w:rsid w:val="00DA3A14"/>
    <w:rsid w:val="00DA5F51"/>
    <w:rsid w:val="00DA686B"/>
    <w:rsid w:val="00DB33C4"/>
    <w:rsid w:val="00DB4F38"/>
    <w:rsid w:val="00DB5FC8"/>
    <w:rsid w:val="00DD14B1"/>
    <w:rsid w:val="00DD5B24"/>
    <w:rsid w:val="00DD5E08"/>
    <w:rsid w:val="00DD5FE4"/>
    <w:rsid w:val="00DD6BDB"/>
    <w:rsid w:val="00DE77A4"/>
    <w:rsid w:val="00E02BEE"/>
    <w:rsid w:val="00E03564"/>
    <w:rsid w:val="00E10B84"/>
    <w:rsid w:val="00E143CC"/>
    <w:rsid w:val="00E16E71"/>
    <w:rsid w:val="00E17CF6"/>
    <w:rsid w:val="00E20D6B"/>
    <w:rsid w:val="00E2145D"/>
    <w:rsid w:val="00E215B1"/>
    <w:rsid w:val="00E2381C"/>
    <w:rsid w:val="00E2695D"/>
    <w:rsid w:val="00E34BFF"/>
    <w:rsid w:val="00E34F61"/>
    <w:rsid w:val="00E406BB"/>
    <w:rsid w:val="00E45B56"/>
    <w:rsid w:val="00E57A2C"/>
    <w:rsid w:val="00E6065A"/>
    <w:rsid w:val="00E609A3"/>
    <w:rsid w:val="00E632A7"/>
    <w:rsid w:val="00E645D1"/>
    <w:rsid w:val="00E65F03"/>
    <w:rsid w:val="00E65FD3"/>
    <w:rsid w:val="00E70B0E"/>
    <w:rsid w:val="00E73576"/>
    <w:rsid w:val="00E86C0E"/>
    <w:rsid w:val="00E90B73"/>
    <w:rsid w:val="00E92EC5"/>
    <w:rsid w:val="00E94C09"/>
    <w:rsid w:val="00EA4AF7"/>
    <w:rsid w:val="00EB01A0"/>
    <w:rsid w:val="00EB04E5"/>
    <w:rsid w:val="00EB1E1D"/>
    <w:rsid w:val="00EB24B0"/>
    <w:rsid w:val="00EB5506"/>
    <w:rsid w:val="00EC6549"/>
    <w:rsid w:val="00EC67A5"/>
    <w:rsid w:val="00EC6DF9"/>
    <w:rsid w:val="00ED00FF"/>
    <w:rsid w:val="00ED0E40"/>
    <w:rsid w:val="00EE7F70"/>
    <w:rsid w:val="00EF0D62"/>
    <w:rsid w:val="00EF4549"/>
    <w:rsid w:val="00EF53E4"/>
    <w:rsid w:val="00EF6BB9"/>
    <w:rsid w:val="00EF74DB"/>
    <w:rsid w:val="00F05EFC"/>
    <w:rsid w:val="00F07E64"/>
    <w:rsid w:val="00F113A9"/>
    <w:rsid w:val="00F17F95"/>
    <w:rsid w:val="00F22365"/>
    <w:rsid w:val="00F224B0"/>
    <w:rsid w:val="00F22CF7"/>
    <w:rsid w:val="00F22F18"/>
    <w:rsid w:val="00F25FC6"/>
    <w:rsid w:val="00F3717A"/>
    <w:rsid w:val="00F40A8E"/>
    <w:rsid w:val="00F40DC1"/>
    <w:rsid w:val="00F41554"/>
    <w:rsid w:val="00F4681C"/>
    <w:rsid w:val="00F6125D"/>
    <w:rsid w:val="00F63003"/>
    <w:rsid w:val="00F66111"/>
    <w:rsid w:val="00F72566"/>
    <w:rsid w:val="00F843D3"/>
    <w:rsid w:val="00F90649"/>
    <w:rsid w:val="00F9154C"/>
    <w:rsid w:val="00FA1806"/>
    <w:rsid w:val="00FA2BAF"/>
    <w:rsid w:val="00FA5076"/>
    <w:rsid w:val="00FB0EE3"/>
    <w:rsid w:val="00FB4A3C"/>
    <w:rsid w:val="00FB67AA"/>
    <w:rsid w:val="00FC263B"/>
    <w:rsid w:val="00FC2B15"/>
    <w:rsid w:val="00FC3122"/>
    <w:rsid w:val="00FC6193"/>
    <w:rsid w:val="00FC641D"/>
    <w:rsid w:val="00FC7687"/>
    <w:rsid w:val="00FD54D0"/>
    <w:rsid w:val="00FD7705"/>
    <w:rsid w:val="00FE30D0"/>
    <w:rsid w:val="00FE7B05"/>
    <w:rsid w:val="00FF2A75"/>
    <w:rsid w:val="00FF543F"/>
    <w:rsid w:val="00FF67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431631"/>
    <w:pPr>
      <w:ind w:left="720"/>
      <w:contextualSpacing/>
    </w:pPr>
  </w:style>
  <w:style w:type="paragraph" w:styleId="Fotnotetekst">
    <w:name w:val="footnote text"/>
    <w:basedOn w:val="Normal"/>
    <w:link w:val="FotnotetekstTegn"/>
    <w:semiHidden/>
    <w:rsid w:val="001D2446"/>
    <w:pPr>
      <w:spacing w:after="0" w:line="240" w:lineRule="auto"/>
    </w:pPr>
    <w:rPr>
      <w:rFonts w:ascii="Times New Roman" w:eastAsia="Times New Roman" w:hAnsi="Times New Roman" w:cs="Times New Roman"/>
      <w:sz w:val="20"/>
      <w:szCs w:val="20"/>
      <w:lang w:eastAsia="nb-NO"/>
    </w:rPr>
  </w:style>
  <w:style w:type="character" w:customStyle="1" w:styleId="FotnotetekstTegn">
    <w:name w:val="Fotnotetekst Tegn"/>
    <w:basedOn w:val="Standardskriftforavsnitt"/>
    <w:link w:val="Fotnotetekst"/>
    <w:semiHidden/>
    <w:rsid w:val="001D2446"/>
    <w:rPr>
      <w:rFonts w:ascii="Times New Roman" w:eastAsia="Times New Roman" w:hAnsi="Times New Roman" w:cs="Times New Roman"/>
      <w:sz w:val="20"/>
      <w:szCs w:val="20"/>
      <w:lang w:eastAsia="nb-NO"/>
    </w:rPr>
  </w:style>
  <w:style w:type="character" w:styleId="Fotnotereferanse">
    <w:name w:val="footnote reference"/>
    <w:semiHidden/>
    <w:rsid w:val="001D2446"/>
    <w:rPr>
      <w:vertAlign w:val="superscript"/>
    </w:rPr>
  </w:style>
  <w:style w:type="paragraph" w:styleId="Topptekst">
    <w:name w:val="header"/>
    <w:basedOn w:val="Normal"/>
    <w:link w:val="TopptekstTegn"/>
    <w:uiPriority w:val="99"/>
    <w:unhideWhenUsed/>
    <w:rsid w:val="00C27E8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27E8C"/>
  </w:style>
  <w:style w:type="paragraph" w:styleId="Bunntekst">
    <w:name w:val="footer"/>
    <w:basedOn w:val="Normal"/>
    <w:link w:val="BunntekstTegn"/>
    <w:uiPriority w:val="99"/>
    <w:unhideWhenUsed/>
    <w:rsid w:val="00C27E8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27E8C"/>
  </w:style>
  <w:style w:type="paragraph" w:styleId="Bobletekst">
    <w:name w:val="Balloon Text"/>
    <w:basedOn w:val="Normal"/>
    <w:link w:val="BobletekstTegn"/>
    <w:uiPriority w:val="99"/>
    <w:semiHidden/>
    <w:unhideWhenUsed/>
    <w:rsid w:val="00DA686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A686B"/>
    <w:rPr>
      <w:rFonts w:ascii="Tahoma" w:hAnsi="Tahoma" w:cs="Tahoma"/>
      <w:sz w:val="16"/>
      <w:szCs w:val="16"/>
    </w:rPr>
  </w:style>
  <w:style w:type="character" w:styleId="Merknadsreferanse">
    <w:name w:val="annotation reference"/>
    <w:rsid w:val="003A0087"/>
    <w:rPr>
      <w:sz w:val="16"/>
      <w:szCs w:val="16"/>
    </w:rPr>
  </w:style>
  <w:style w:type="paragraph" w:styleId="Merknadstekst">
    <w:name w:val="annotation text"/>
    <w:basedOn w:val="Normal"/>
    <w:link w:val="MerknadstekstTegn"/>
    <w:rsid w:val="003A0087"/>
    <w:pPr>
      <w:spacing w:after="0" w:line="240" w:lineRule="auto"/>
    </w:pPr>
    <w:rPr>
      <w:rFonts w:ascii="Times New Roman" w:eastAsia="Times New Roman" w:hAnsi="Times New Roman" w:cs="Times New Roman"/>
      <w:sz w:val="20"/>
      <w:szCs w:val="20"/>
      <w:lang w:eastAsia="nb-NO"/>
    </w:rPr>
  </w:style>
  <w:style w:type="character" w:customStyle="1" w:styleId="MerknadstekstTegn">
    <w:name w:val="Merknadstekst Tegn"/>
    <w:basedOn w:val="Standardskriftforavsnitt"/>
    <w:link w:val="Merknadstekst"/>
    <w:rsid w:val="003A0087"/>
    <w:rPr>
      <w:rFonts w:ascii="Times New Roman" w:eastAsia="Times New Roman" w:hAnsi="Times New Roman" w:cs="Times New Roman"/>
      <w:sz w:val="20"/>
      <w:szCs w:val="20"/>
      <w:lang w:eastAsia="nb-NO"/>
    </w:rPr>
  </w:style>
  <w:style w:type="paragraph" w:customStyle="1" w:styleId="Default">
    <w:name w:val="Default"/>
    <w:rsid w:val="005E1E96"/>
    <w:pPr>
      <w:autoSpaceDE w:val="0"/>
      <w:autoSpaceDN w:val="0"/>
      <w:adjustRightInd w:val="0"/>
      <w:spacing w:after="0" w:line="240" w:lineRule="auto"/>
    </w:pPr>
    <w:rPr>
      <w:rFonts w:ascii="Futura Book" w:hAnsi="Futura Book" w:cs="Futura Book"/>
      <w:color w:val="000000"/>
      <w:sz w:val="24"/>
      <w:szCs w:val="24"/>
    </w:rPr>
  </w:style>
  <w:style w:type="character" w:styleId="Hyperkobling">
    <w:name w:val="Hyperlink"/>
    <w:basedOn w:val="Standardskriftforavsnitt"/>
    <w:rsid w:val="00950A1D"/>
    <w:rPr>
      <w:color w:val="0000FF"/>
      <w:u w:val="single"/>
    </w:rPr>
  </w:style>
  <w:style w:type="paragraph" w:styleId="Kommentaremne">
    <w:name w:val="annotation subject"/>
    <w:basedOn w:val="Merknadstekst"/>
    <w:next w:val="Merknadstekst"/>
    <w:link w:val="KommentaremneTegn"/>
    <w:uiPriority w:val="99"/>
    <w:semiHidden/>
    <w:unhideWhenUsed/>
    <w:rsid w:val="005C192D"/>
    <w:pPr>
      <w:spacing w:after="200"/>
    </w:pPr>
    <w:rPr>
      <w:rFonts w:asciiTheme="minorHAnsi" w:eastAsiaTheme="minorHAnsi" w:hAnsiTheme="minorHAnsi" w:cstheme="minorBidi"/>
      <w:b/>
      <w:bCs/>
      <w:lang w:eastAsia="en-US"/>
    </w:rPr>
  </w:style>
  <w:style w:type="character" w:customStyle="1" w:styleId="KommentaremneTegn">
    <w:name w:val="Kommentaremne Tegn"/>
    <w:basedOn w:val="MerknadstekstTegn"/>
    <w:link w:val="Kommentaremne"/>
    <w:uiPriority w:val="99"/>
    <w:semiHidden/>
    <w:rsid w:val="005C192D"/>
    <w:rPr>
      <w:rFonts w:ascii="Times New Roman" w:eastAsia="Times New Roman" w:hAnsi="Times New Roman" w:cs="Times New Roman"/>
      <w:b/>
      <w:bCs/>
      <w:sz w:val="20"/>
      <w:szCs w:val="20"/>
      <w:lang w:eastAsia="nb-NO"/>
    </w:rPr>
  </w:style>
  <w:style w:type="table" w:styleId="Tabellrutenett">
    <w:name w:val="Table Grid"/>
    <w:basedOn w:val="Vanligtabell"/>
    <w:uiPriority w:val="59"/>
    <w:rsid w:val="00A537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10">
    <w:name w:val="A10"/>
    <w:uiPriority w:val="99"/>
    <w:rsid w:val="00A5371D"/>
    <w:rPr>
      <w:rFonts w:cs="Futura Book"/>
      <w:color w:val="221E1F"/>
      <w:sz w:val="20"/>
      <w:szCs w:val="20"/>
    </w:rPr>
  </w:style>
  <w:style w:type="paragraph" w:styleId="Bildetekst">
    <w:name w:val="caption"/>
    <w:basedOn w:val="Normal"/>
    <w:next w:val="Normal"/>
    <w:uiPriority w:val="35"/>
    <w:unhideWhenUsed/>
    <w:qFormat/>
    <w:rsid w:val="00EB1E1D"/>
    <w:pPr>
      <w:spacing w:line="240" w:lineRule="auto"/>
    </w:pPr>
    <w:rPr>
      <w:b/>
      <w:bCs/>
      <w:color w:val="4F81BD" w:themeColor="accent1"/>
      <w:sz w:val="18"/>
      <w:szCs w:val="18"/>
    </w:rPr>
  </w:style>
  <w:style w:type="paragraph" w:styleId="Revisjon">
    <w:name w:val="Revision"/>
    <w:hidden/>
    <w:uiPriority w:val="99"/>
    <w:semiHidden/>
    <w:rsid w:val="0023506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431631"/>
    <w:pPr>
      <w:ind w:left="720"/>
      <w:contextualSpacing/>
    </w:pPr>
  </w:style>
  <w:style w:type="paragraph" w:styleId="Fotnotetekst">
    <w:name w:val="footnote text"/>
    <w:basedOn w:val="Normal"/>
    <w:link w:val="FotnotetekstTegn"/>
    <w:semiHidden/>
    <w:rsid w:val="001D2446"/>
    <w:pPr>
      <w:spacing w:after="0" w:line="240" w:lineRule="auto"/>
    </w:pPr>
    <w:rPr>
      <w:rFonts w:ascii="Times New Roman" w:eastAsia="Times New Roman" w:hAnsi="Times New Roman" w:cs="Times New Roman"/>
      <w:sz w:val="20"/>
      <w:szCs w:val="20"/>
      <w:lang w:eastAsia="nb-NO"/>
    </w:rPr>
  </w:style>
  <w:style w:type="character" w:customStyle="1" w:styleId="FotnotetekstTegn">
    <w:name w:val="Fotnotetekst Tegn"/>
    <w:basedOn w:val="Standardskriftforavsnitt"/>
    <w:link w:val="Fotnotetekst"/>
    <w:semiHidden/>
    <w:rsid w:val="001D2446"/>
    <w:rPr>
      <w:rFonts w:ascii="Times New Roman" w:eastAsia="Times New Roman" w:hAnsi="Times New Roman" w:cs="Times New Roman"/>
      <w:sz w:val="20"/>
      <w:szCs w:val="20"/>
      <w:lang w:eastAsia="nb-NO"/>
    </w:rPr>
  </w:style>
  <w:style w:type="character" w:styleId="Fotnotereferanse">
    <w:name w:val="footnote reference"/>
    <w:semiHidden/>
    <w:rsid w:val="001D2446"/>
    <w:rPr>
      <w:vertAlign w:val="superscript"/>
    </w:rPr>
  </w:style>
  <w:style w:type="paragraph" w:styleId="Topptekst">
    <w:name w:val="header"/>
    <w:basedOn w:val="Normal"/>
    <w:link w:val="TopptekstTegn"/>
    <w:uiPriority w:val="99"/>
    <w:unhideWhenUsed/>
    <w:rsid w:val="00C27E8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27E8C"/>
  </w:style>
  <w:style w:type="paragraph" w:styleId="Bunntekst">
    <w:name w:val="footer"/>
    <w:basedOn w:val="Normal"/>
    <w:link w:val="BunntekstTegn"/>
    <w:uiPriority w:val="99"/>
    <w:unhideWhenUsed/>
    <w:rsid w:val="00C27E8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27E8C"/>
  </w:style>
  <w:style w:type="paragraph" w:styleId="Bobletekst">
    <w:name w:val="Balloon Text"/>
    <w:basedOn w:val="Normal"/>
    <w:link w:val="BobletekstTegn"/>
    <w:uiPriority w:val="99"/>
    <w:semiHidden/>
    <w:unhideWhenUsed/>
    <w:rsid w:val="00DA686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A686B"/>
    <w:rPr>
      <w:rFonts w:ascii="Tahoma" w:hAnsi="Tahoma" w:cs="Tahoma"/>
      <w:sz w:val="16"/>
      <w:szCs w:val="16"/>
    </w:rPr>
  </w:style>
  <w:style w:type="character" w:styleId="Merknadsreferanse">
    <w:name w:val="annotation reference"/>
    <w:rsid w:val="003A0087"/>
    <w:rPr>
      <w:sz w:val="16"/>
      <w:szCs w:val="16"/>
    </w:rPr>
  </w:style>
  <w:style w:type="paragraph" w:styleId="Merknadstekst">
    <w:name w:val="annotation text"/>
    <w:basedOn w:val="Normal"/>
    <w:link w:val="MerknadstekstTegn"/>
    <w:rsid w:val="003A0087"/>
    <w:pPr>
      <w:spacing w:after="0" w:line="240" w:lineRule="auto"/>
    </w:pPr>
    <w:rPr>
      <w:rFonts w:ascii="Times New Roman" w:eastAsia="Times New Roman" w:hAnsi="Times New Roman" w:cs="Times New Roman"/>
      <w:sz w:val="20"/>
      <w:szCs w:val="20"/>
      <w:lang w:eastAsia="nb-NO"/>
    </w:rPr>
  </w:style>
  <w:style w:type="character" w:customStyle="1" w:styleId="MerknadstekstTegn">
    <w:name w:val="Merknadstekst Tegn"/>
    <w:basedOn w:val="Standardskriftforavsnitt"/>
    <w:link w:val="Merknadstekst"/>
    <w:rsid w:val="003A0087"/>
    <w:rPr>
      <w:rFonts w:ascii="Times New Roman" w:eastAsia="Times New Roman" w:hAnsi="Times New Roman" w:cs="Times New Roman"/>
      <w:sz w:val="20"/>
      <w:szCs w:val="20"/>
      <w:lang w:eastAsia="nb-NO"/>
    </w:rPr>
  </w:style>
  <w:style w:type="paragraph" w:customStyle="1" w:styleId="Default">
    <w:name w:val="Default"/>
    <w:rsid w:val="005E1E96"/>
    <w:pPr>
      <w:autoSpaceDE w:val="0"/>
      <w:autoSpaceDN w:val="0"/>
      <w:adjustRightInd w:val="0"/>
      <w:spacing w:after="0" w:line="240" w:lineRule="auto"/>
    </w:pPr>
    <w:rPr>
      <w:rFonts w:ascii="Futura Book" w:hAnsi="Futura Book" w:cs="Futura Book"/>
      <w:color w:val="000000"/>
      <w:sz w:val="24"/>
      <w:szCs w:val="24"/>
    </w:rPr>
  </w:style>
  <w:style w:type="character" w:styleId="Hyperkobling">
    <w:name w:val="Hyperlink"/>
    <w:basedOn w:val="Standardskriftforavsnitt"/>
    <w:rsid w:val="00950A1D"/>
    <w:rPr>
      <w:color w:val="0000FF"/>
      <w:u w:val="single"/>
    </w:rPr>
  </w:style>
  <w:style w:type="paragraph" w:styleId="Kommentaremne">
    <w:name w:val="annotation subject"/>
    <w:basedOn w:val="Merknadstekst"/>
    <w:next w:val="Merknadstekst"/>
    <w:link w:val="KommentaremneTegn"/>
    <w:uiPriority w:val="99"/>
    <w:semiHidden/>
    <w:unhideWhenUsed/>
    <w:rsid w:val="005C192D"/>
    <w:pPr>
      <w:spacing w:after="200"/>
    </w:pPr>
    <w:rPr>
      <w:rFonts w:asciiTheme="minorHAnsi" w:eastAsiaTheme="minorHAnsi" w:hAnsiTheme="minorHAnsi" w:cstheme="minorBidi"/>
      <w:b/>
      <w:bCs/>
      <w:lang w:eastAsia="en-US"/>
    </w:rPr>
  </w:style>
  <w:style w:type="character" w:customStyle="1" w:styleId="KommentaremneTegn">
    <w:name w:val="Kommentaremne Tegn"/>
    <w:basedOn w:val="MerknadstekstTegn"/>
    <w:link w:val="Kommentaremne"/>
    <w:uiPriority w:val="99"/>
    <w:semiHidden/>
    <w:rsid w:val="005C192D"/>
    <w:rPr>
      <w:rFonts w:ascii="Times New Roman" w:eastAsia="Times New Roman" w:hAnsi="Times New Roman" w:cs="Times New Roman"/>
      <w:b/>
      <w:bCs/>
      <w:sz w:val="20"/>
      <w:szCs w:val="20"/>
      <w:lang w:eastAsia="nb-NO"/>
    </w:rPr>
  </w:style>
  <w:style w:type="table" w:styleId="Tabellrutenett">
    <w:name w:val="Table Grid"/>
    <w:basedOn w:val="Vanligtabell"/>
    <w:uiPriority w:val="59"/>
    <w:rsid w:val="00A537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10">
    <w:name w:val="A10"/>
    <w:uiPriority w:val="99"/>
    <w:rsid w:val="00A5371D"/>
    <w:rPr>
      <w:rFonts w:cs="Futura Book"/>
      <w:color w:val="221E1F"/>
      <w:sz w:val="20"/>
      <w:szCs w:val="20"/>
    </w:rPr>
  </w:style>
  <w:style w:type="paragraph" w:styleId="Bildetekst">
    <w:name w:val="caption"/>
    <w:basedOn w:val="Normal"/>
    <w:next w:val="Normal"/>
    <w:uiPriority w:val="35"/>
    <w:unhideWhenUsed/>
    <w:qFormat/>
    <w:rsid w:val="00EB1E1D"/>
    <w:pPr>
      <w:spacing w:line="240" w:lineRule="auto"/>
    </w:pPr>
    <w:rPr>
      <w:b/>
      <w:bCs/>
      <w:color w:val="4F81BD" w:themeColor="accent1"/>
      <w:sz w:val="18"/>
      <w:szCs w:val="18"/>
    </w:rPr>
  </w:style>
  <w:style w:type="paragraph" w:styleId="Revisjon">
    <w:name w:val="Revision"/>
    <w:hidden/>
    <w:uiPriority w:val="99"/>
    <w:semiHidden/>
    <w:rsid w:val="002350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filgrms1\u09$\leifab\Documents\Filer%20fra%20M-disk%20(12_03_2012)\Disability\Bookchapter\Figur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ilgrms1\u09$\leifab\Documents\Filer%20fra%20M-disk%20(12_03_2012)\Disability\Bookchapter\Figur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'Ark1'!$F$12</c:f>
              <c:strCache>
                <c:ptCount val="1"/>
                <c:pt idx="0">
                  <c:v>Total</c:v>
                </c:pt>
              </c:strCache>
            </c:strRef>
          </c:tx>
          <c:invertIfNegative val="0"/>
          <c:cat>
            <c:strRef>
              <c:f>'Ark1'!$E$13:$E$17</c:f>
              <c:strCache>
                <c:ptCount val="5"/>
                <c:pt idx="0">
                  <c:v>ROSCA</c:v>
                </c:pt>
                <c:pt idx="1">
                  <c:v>Regular Savings</c:v>
                </c:pt>
                <c:pt idx="2">
                  <c:v>Savings in Formal Inst.</c:v>
                </c:pt>
                <c:pt idx="3">
                  <c:v>Loan Ever</c:v>
                </c:pt>
                <c:pt idx="4">
                  <c:v>Loan Today</c:v>
                </c:pt>
              </c:strCache>
            </c:strRef>
          </c:cat>
          <c:val>
            <c:numRef>
              <c:f>'Ark1'!$F$13:$F$17</c:f>
              <c:numCache>
                <c:formatCode>0%</c:formatCode>
                <c:ptCount val="5"/>
                <c:pt idx="0">
                  <c:v>0.66349583828775405</c:v>
                </c:pt>
                <c:pt idx="1">
                  <c:v>0.71700356718192604</c:v>
                </c:pt>
                <c:pt idx="2">
                  <c:v>0.50416171224732498</c:v>
                </c:pt>
                <c:pt idx="3">
                  <c:v>0.39120095124851401</c:v>
                </c:pt>
                <c:pt idx="4">
                  <c:v>0.151010701545779</c:v>
                </c:pt>
              </c:numCache>
            </c:numRef>
          </c:val>
        </c:ser>
        <c:ser>
          <c:idx val="1"/>
          <c:order val="1"/>
          <c:tx>
            <c:strRef>
              <c:f>'Ark1'!$G$12</c:f>
              <c:strCache>
                <c:ptCount val="1"/>
                <c:pt idx="0">
                  <c:v>Physical</c:v>
                </c:pt>
              </c:strCache>
            </c:strRef>
          </c:tx>
          <c:invertIfNegative val="0"/>
          <c:cat>
            <c:strRef>
              <c:f>'Ark1'!$E$13:$E$17</c:f>
              <c:strCache>
                <c:ptCount val="5"/>
                <c:pt idx="0">
                  <c:v>ROSCA</c:v>
                </c:pt>
                <c:pt idx="1">
                  <c:v>Regular Savings</c:v>
                </c:pt>
                <c:pt idx="2">
                  <c:v>Savings in Formal Inst.</c:v>
                </c:pt>
                <c:pt idx="3">
                  <c:v>Loan Ever</c:v>
                </c:pt>
                <c:pt idx="4">
                  <c:v>Loan Today</c:v>
                </c:pt>
              </c:strCache>
            </c:strRef>
          </c:cat>
          <c:val>
            <c:numRef>
              <c:f>'Ark1'!$G$13:$G$17</c:f>
              <c:numCache>
                <c:formatCode>0%</c:formatCode>
                <c:ptCount val="5"/>
                <c:pt idx="0">
                  <c:v>0.693086003372682</c:v>
                </c:pt>
                <c:pt idx="1">
                  <c:v>0.75548060708262998</c:v>
                </c:pt>
                <c:pt idx="2">
                  <c:v>0.53625632377740196</c:v>
                </c:pt>
                <c:pt idx="3">
                  <c:v>0.41146711635750399</c:v>
                </c:pt>
                <c:pt idx="4">
                  <c:v>0.17537942664418199</c:v>
                </c:pt>
              </c:numCache>
            </c:numRef>
          </c:val>
        </c:ser>
        <c:ser>
          <c:idx val="2"/>
          <c:order val="2"/>
          <c:tx>
            <c:strRef>
              <c:f>'Ark1'!$H$12</c:f>
              <c:strCache>
                <c:ptCount val="1"/>
                <c:pt idx="0">
                  <c:v>Deaf</c:v>
                </c:pt>
              </c:strCache>
            </c:strRef>
          </c:tx>
          <c:invertIfNegative val="0"/>
          <c:cat>
            <c:strRef>
              <c:f>'Ark1'!$E$13:$E$17</c:f>
              <c:strCache>
                <c:ptCount val="5"/>
                <c:pt idx="0">
                  <c:v>ROSCA</c:v>
                </c:pt>
                <c:pt idx="1">
                  <c:v>Regular Savings</c:v>
                </c:pt>
                <c:pt idx="2">
                  <c:v>Savings in Formal Inst.</c:v>
                </c:pt>
                <c:pt idx="3">
                  <c:v>Loan Ever</c:v>
                </c:pt>
                <c:pt idx="4">
                  <c:v>Loan Today</c:v>
                </c:pt>
              </c:strCache>
            </c:strRef>
          </c:cat>
          <c:val>
            <c:numRef>
              <c:f>'Ark1'!$H$13:$H$17</c:f>
              <c:numCache>
                <c:formatCode>0%</c:formatCode>
                <c:ptCount val="5"/>
                <c:pt idx="0">
                  <c:v>0.5</c:v>
                </c:pt>
                <c:pt idx="1">
                  <c:v>0.57608695652173902</c:v>
                </c:pt>
                <c:pt idx="2">
                  <c:v>0.47826086956521802</c:v>
                </c:pt>
                <c:pt idx="3">
                  <c:v>0.36956521739130399</c:v>
                </c:pt>
                <c:pt idx="4">
                  <c:v>6.5217391304347894E-2</c:v>
                </c:pt>
              </c:numCache>
            </c:numRef>
          </c:val>
        </c:ser>
        <c:ser>
          <c:idx val="3"/>
          <c:order val="3"/>
          <c:tx>
            <c:strRef>
              <c:f>'Ark1'!$I$12</c:f>
              <c:strCache>
                <c:ptCount val="1"/>
                <c:pt idx="0">
                  <c:v>Blind</c:v>
                </c:pt>
              </c:strCache>
            </c:strRef>
          </c:tx>
          <c:invertIfNegative val="0"/>
          <c:cat>
            <c:strRef>
              <c:f>'Ark1'!$E$13:$E$17</c:f>
              <c:strCache>
                <c:ptCount val="5"/>
                <c:pt idx="0">
                  <c:v>ROSCA</c:v>
                </c:pt>
                <c:pt idx="1">
                  <c:v>Regular Savings</c:v>
                </c:pt>
                <c:pt idx="2">
                  <c:v>Savings in Formal Inst.</c:v>
                </c:pt>
                <c:pt idx="3">
                  <c:v>Loan Ever</c:v>
                </c:pt>
                <c:pt idx="4">
                  <c:v>Loan Today</c:v>
                </c:pt>
              </c:strCache>
            </c:strRef>
          </c:cat>
          <c:val>
            <c:numRef>
              <c:f>'Ark1'!$I$13:$I$17</c:f>
              <c:numCache>
                <c:formatCode>0%</c:formatCode>
                <c:ptCount val="5"/>
                <c:pt idx="0">
                  <c:v>0.67346938775510201</c:v>
                </c:pt>
                <c:pt idx="1">
                  <c:v>0.64285714285714302</c:v>
                </c:pt>
                <c:pt idx="2">
                  <c:v>0.367346938775511</c:v>
                </c:pt>
                <c:pt idx="3">
                  <c:v>0.37755102040816302</c:v>
                </c:pt>
                <c:pt idx="4">
                  <c:v>0.11224489795918401</c:v>
                </c:pt>
              </c:numCache>
            </c:numRef>
          </c:val>
        </c:ser>
        <c:dLbls>
          <c:showLegendKey val="0"/>
          <c:showVal val="0"/>
          <c:showCatName val="0"/>
          <c:showSerName val="0"/>
          <c:showPercent val="0"/>
          <c:showBubbleSize val="0"/>
        </c:dLbls>
        <c:gapWidth val="150"/>
        <c:axId val="465934976"/>
        <c:axId val="467579264"/>
      </c:barChart>
      <c:catAx>
        <c:axId val="465934976"/>
        <c:scaling>
          <c:orientation val="minMax"/>
        </c:scaling>
        <c:delete val="0"/>
        <c:axPos val="b"/>
        <c:majorTickMark val="out"/>
        <c:minorTickMark val="none"/>
        <c:tickLblPos val="nextTo"/>
        <c:txPr>
          <a:bodyPr/>
          <a:lstStyle/>
          <a:p>
            <a:pPr>
              <a:defRPr lang="nb-NO"/>
            </a:pPr>
            <a:endParaRPr lang="nb-NO"/>
          </a:p>
        </c:txPr>
        <c:crossAx val="467579264"/>
        <c:crosses val="autoZero"/>
        <c:auto val="1"/>
        <c:lblAlgn val="ctr"/>
        <c:lblOffset val="100"/>
        <c:noMultiLvlLbl val="0"/>
      </c:catAx>
      <c:valAx>
        <c:axId val="467579264"/>
        <c:scaling>
          <c:orientation val="minMax"/>
        </c:scaling>
        <c:delete val="0"/>
        <c:axPos val="l"/>
        <c:majorGridlines/>
        <c:numFmt formatCode="0%" sourceLinked="1"/>
        <c:majorTickMark val="out"/>
        <c:minorTickMark val="none"/>
        <c:tickLblPos val="nextTo"/>
        <c:txPr>
          <a:bodyPr/>
          <a:lstStyle/>
          <a:p>
            <a:pPr>
              <a:defRPr lang="nb-NO"/>
            </a:pPr>
            <a:endParaRPr lang="nb-NO"/>
          </a:p>
        </c:txPr>
        <c:crossAx val="465934976"/>
        <c:crosses val="autoZero"/>
        <c:crossBetween val="between"/>
      </c:valAx>
    </c:plotArea>
    <c:legend>
      <c:legendPos val="r"/>
      <c:overlay val="0"/>
      <c:txPr>
        <a:bodyPr/>
        <a:lstStyle/>
        <a:p>
          <a:pPr>
            <a:defRPr lang="nb-NO"/>
          </a:pPr>
          <a:endParaRPr lang="nb-NO"/>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'Ark1'!$E$28:$E$32</c:f>
              <c:strCache>
                <c:ptCount val="5"/>
                <c:pt idx="0">
                  <c:v>Exclusion by staff</c:v>
                </c:pt>
                <c:pt idx="1">
                  <c:v>Exclusion by credit group members</c:v>
                </c:pt>
                <c:pt idx="2">
                  <c:v>Self-exclusion</c:v>
                </c:pt>
                <c:pt idx="3">
                  <c:v>Exclusion by credit design</c:v>
                </c:pt>
                <c:pt idx="4">
                  <c:v>Exclusion by the disability itself</c:v>
                </c:pt>
              </c:strCache>
            </c:strRef>
          </c:cat>
          <c:val>
            <c:numRef>
              <c:f>'Ark1'!$F$28:$F$32</c:f>
              <c:numCache>
                <c:formatCode>0%</c:formatCode>
                <c:ptCount val="5"/>
                <c:pt idx="0">
                  <c:v>0.22</c:v>
                </c:pt>
                <c:pt idx="1">
                  <c:v>0.3</c:v>
                </c:pt>
                <c:pt idx="2">
                  <c:v>0.12</c:v>
                </c:pt>
                <c:pt idx="3">
                  <c:v>0.46</c:v>
                </c:pt>
                <c:pt idx="4">
                  <c:v>0.28000000000000003</c:v>
                </c:pt>
              </c:numCache>
            </c:numRef>
          </c:val>
        </c:ser>
        <c:dLbls>
          <c:showLegendKey val="0"/>
          <c:showVal val="0"/>
          <c:showCatName val="0"/>
          <c:showSerName val="0"/>
          <c:showPercent val="0"/>
          <c:showBubbleSize val="0"/>
        </c:dLbls>
        <c:gapWidth val="150"/>
        <c:axId val="512141952"/>
        <c:axId val="512222720"/>
      </c:barChart>
      <c:catAx>
        <c:axId val="512141952"/>
        <c:scaling>
          <c:orientation val="minMax"/>
        </c:scaling>
        <c:delete val="0"/>
        <c:axPos val="b"/>
        <c:majorTickMark val="out"/>
        <c:minorTickMark val="none"/>
        <c:tickLblPos val="nextTo"/>
        <c:txPr>
          <a:bodyPr/>
          <a:lstStyle/>
          <a:p>
            <a:pPr>
              <a:defRPr lang="nb-NO"/>
            </a:pPr>
            <a:endParaRPr lang="nb-NO"/>
          </a:p>
        </c:txPr>
        <c:crossAx val="512222720"/>
        <c:crosses val="autoZero"/>
        <c:auto val="1"/>
        <c:lblAlgn val="ctr"/>
        <c:lblOffset val="100"/>
        <c:noMultiLvlLbl val="0"/>
      </c:catAx>
      <c:valAx>
        <c:axId val="512222720"/>
        <c:scaling>
          <c:orientation val="minMax"/>
        </c:scaling>
        <c:delete val="0"/>
        <c:axPos val="l"/>
        <c:majorGridlines/>
        <c:numFmt formatCode="0%" sourceLinked="1"/>
        <c:majorTickMark val="out"/>
        <c:minorTickMark val="none"/>
        <c:tickLblPos val="nextTo"/>
        <c:txPr>
          <a:bodyPr/>
          <a:lstStyle/>
          <a:p>
            <a:pPr>
              <a:defRPr lang="nb-NO"/>
            </a:pPr>
            <a:endParaRPr lang="nb-NO"/>
          </a:p>
        </c:txPr>
        <c:crossAx val="51214195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ABCA6-B539-451C-86DE-77A304273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79C57DBE.dotm</Template>
  <TotalTime>2</TotalTime>
  <Pages>30</Pages>
  <Words>8955</Words>
  <Characters>47464</Characters>
  <Application>Microsoft Office Word</Application>
  <DocSecurity>0</DocSecurity>
  <Lines>395</Lines>
  <Paragraphs>112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Universitetet i Agder</Company>
  <LinksUpToDate>false</LinksUpToDate>
  <CharactersWithSpaces>56307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Leif Atle Beisland</dc:creator>
  <cp:lastModifiedBy>Roy Mersland</cp:lastModifiedBy>
  <cp:revision>3</cp:revision>
  <cp:lastPrinted>2012-06-26T13:59:00Z</cp:lastPrinted>
  <dcterms:created xsi:type="dcterms:W3CDTF">2017-01-05T10:22:00Z</dcterms:created>
  <dcterms:modified xsi:type="dcterms:W3CDTF">2017-01-05T10:29:00Z</dcterms:modified>
</cp:coreProperties>
</file>