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CF" w:rsidRDefault="002314CF">
      <w:pPr>
        <w:rPr>
          <w:b/>
          <w:i/>
        </w:rPr>
      </w:pPr>
    </w:p>
    <w:p w:rsidR="002314CF" w:rsidRDefault="002314CF">
      <w:pPr>
        <w:rPr>
          <w:b/>
          <w:i/>
        </w:rPr>
      </w:pPr>
    </w:p>
    <w:p w:rsidR="002314CF" w:rsidRDefault="002314CF">
      <w:pPr>
        <w:rPr>
          <w:b/>
          <w:i/>
        </w:rPr>
      </w:pPr>
    </w:p>
    <w:p w:rsidR="002314CF" w:rsidRDefault="002314CF">
      <w:pPr>
        <w:rPr>
          <w:b/>
          <w:i/>
        </w:rPr>
      </w:pPr>
    </w:p>
    <w:p w:rsidR="002314CF" w:rsidRDefault="002314CF">
      <w:pPr>
        <w:rPr>
          <w:b/>
          <w:i/>
        </w:rPr>
      </w:pPr>
    </w:p>
    <w:p w:rsidR="002314CF" w:rsidRPr="00744941" w:rsidRDefault="002314CF" w:rsidP="002314CF">
      <w:pPr>
        <w:jc w:val="center"/>
        <w:rPr>
          <w:b/>
          <w:i/>
          <w:sz w:val="48"/>
          <w:szCs w:val="48"/>
          <w:u w:val="single"/>
          <w:lang w:val="en-US"/>
        </w:rPr>
      </w:pPr>
      <w:r w:rsidRPr="00744941">
        <w:rPr>
          <w:b/>
          <w:i/>
          <w:sz w:val="48"/>
          <w:szCs w:val="48"/>
          <w:u w:val="single"/>
          <w:lang w:val="en-US"/>
        </w:rPr>
        <w:t>Field report</w:t>
      </w:r>
    </w:p>
    <w:p w:rsidR="002314CF" w:rsidRPr="00744941" w:rsidRDefault="002314CF" w:rsidP="002314CF">
      <w:pPr>
        <w:jc w:val="center"/>
        <w:rPr>
          <w:b/>
          <w:i/>
          <w:lang w:val="en-US"/>
        </w:rPr>
      </w:pPr>
    </w:p>
    <w:p w:rsidR="00204C6F" w:rsidRDefault="002314CF" w:rsidP="002314CF">
      <w:pPr>
        <w:jc w:val="center"/>
        <w:rPr>
          <w:b/>
          <w:i/>
          <w:sz w:val="56"/>
          <w:szCs w:val="56"/>
          <w:lang w:val="en-US"/>
        </w:rPr>
      </w:pPr>
      <w:r w:rsidRPr="002314CF">
        <w:rPr>
          <w:b/>
          <w:i/>
          <w:sz w:val="56"/>
          <w:szCs w:val="56"/>
          <w:lang w:val="en-US"/>
        </w:rPr>
        <w:t xml:space="preserve">Motivations for business start-up: are there any differences between disabled and non-disabled </w:t>
      </w:r>
      <w:r w:rsidR="007718A1">
        <w:rPr>
          <w:b/>
          <w:i/>
          <w:sz w:val="56"/>
          <w:szCs w:val="56"/>
          <w:lang w:val="en-US"/>
        </w:rPr>
        <w:t>microfinance clients</w:t>
      </w:r>
      <w:r w:rsidRPr="002314CF">
        <w:rPr>
          <w:b/>
          <w:i/>
          <w:sz w:val="56"/>
          <w:szCs w:val="56"/>
          <w:lang w:val="en-US"/>
        </w:rPr>
        <w:t>?</w:t>
      </w:r>
    </w:p>
    <w:p w:rsidR="00204C6F" w:rsidRDefault="00204C6F" w:rsidP="002314CF">
      <w:pPr>
        <w:jc w:val="center"/>
        <w:rPr>
          <w:b/>
          <w:i/>
          <w:sz w:val="56"/>
          <w:szCs w:val="56"/>
          <w:lang w:val="en-US"/>
        </w:rPr>
      </w:pPr>
    </w:p>
    <w:p w:rsidR="00ED0F6A" w:rsidRDefault="00ED0F6A" w:rsidP="00ED0F6A">
      <w:pPr>
        <w:spacing w:before="240"/>
        <w:jc w:val="center"/>
        <w:rPr>
          <w:lang w:val="en-US"/>
        </w:rPr>
      </w:pPr>
      <w:r>
        <w:rPr>
          <w:lang w:val="en-US"/>
        </w:rPr>
        <w:t>This paper has been published as:</w:t>
      </w:r>
    </w:p>
    <w:p w:rsidR="00ED0F6A" w:rsidRPr="00ED0F6A" w:rsidRDefault="00ED0F6A" w:rsidP="00ED0F6A">
      <w:pPr>
        <w:spacing w:before="240"/>
        <w:jc w:val="center"/>
        <w:rPr>
          <w:lang w:val="en-US"/>
        </w:rPr>
      </w:pPr>
      <w:r w:rsidRPr="00ED0F6A">
        <w:rPr>
          <w:lang w:val="en-US"/>
        </w:rPr>
        <w:t>Beisland, L. A., Mersland, R., &amp; Zamore, S., (2016), “Field Report: Motivations for business start-up: are there any differences between disabled and non-disabled microfinance clients?</w:t>
      </w:r>
      <w:proofErr w:type="gramStart"/>
      <w:r w:rsidRPr="00ED0F6A">
        <w:rPr>
          <w:lang w:val="en-US"/>
        </w:rPr>
        <w:t>”,</w:t>
      </w:r>
      <w:proofErr w:type="gramEnd"/>
      <w:r w:rsidRPr="00ED0F6A">
        <w:rPr>
          <w:lang w:val="en-US"/>
        </w:rPr>
        <w:t xml:space="preserve"> </w:t>
      </w:r>
      <w:bookmarkStart w:id="0" w:name="_GoBack"/>
      <w:r w:rsidRPr="00ED0F6A">
        <w:rPr>
          <w:u w:val="single"/>
          <w:lang w:val="en-US"/>
        </w:rPr>
        <w:t>Journal of International Development</w:t>
      </w:r>
      <w:bookmarkEnd w:id="0"/>
      <w:r w:rsidRPr="00ED0F6A">
        <w:rPr>
          <w:i/>
          <w:lang w:val="en-US"/>
        </w:rPr>
        <w:t>.</w:t>
      </w:r>
      <w:r w:rsidRPr="00ED0F6A">
        <w:rPr>
          <w:lang w:val="en-US"/>
        </w:rPr>
        <w:t xml:space="preserve"> Vol. 28(1), pp. 147-149.</w:t>
      </w:r>
    </w:p>
    <w:p w:rsidR="00204C6F" w:rsidRDefault="00204C6F" w:rsidP="002314CF">
      <w:pPr>
        <w:jc w:val="center"/>
        <w:rPr>
          <w:b/>
          <w:i/>
          <w:sz w:val="56"/>
          <w:szCs w:val="56"/>
          <w:lang w:val="en-US"/>
        </w:rPr>
      </w:pPr>
    </w:p>
    <w:p w:rsidR="00204C6F" w:rsidRDefault="00204C6F" w:rsidP="002314CF">
      <w:pPr>
        <w:jc w:val="center"/>
        <w:rPr>
          <w:b/>
          <w:i/>
          <w:sz w:val="56"/>
          <w:szCs w:val="56"/>
          <w:lang w:val="en-US"/>
        </w:rPr>
      </w:pPr>
    </w:p>
    <w:p w:rsidR="00204C6F" w:rsidRPr="007718A1" w:rsidRDefault="00204C6F" w:rsidP="00204C6F">
      <w:pPr>
        <w:spacing w:after="0"/>
        <w:jc w:val="center"/>
        <w:rPr>
          <w:b/>
          <w:u w:val="single"/>
          <w:lang w:val="en-US"/>
        </w:rPr>
      </w:pPr>
      <w:r w:rsidRPr="007718A1">
        <w:rPr>
          <w:b/>
          <w:u w:val="single"/>
          <w:lang w:val="en-US"/>
        </w:rPr>
        <w:t>Abstract</w:t>
      </w:r>
    </w:p>
    <w:p w:rsidR="002314CF" w:rsidRPr="00204C6F" w:rsidRDefault="00204C6F" w:rsidP="00204C6F">
      <w:pPr>
        <w:spacing w:after="0"/>
        <w:jc w:val="both"/>
        <w:rPr>
          <w:sz w:val="56"/>
          <w:szCs w:val="56"/>
          <w:lang w:val="en-US"/>
        </w:rPr>
      </w:pPr>
      <w:r w:rsidRPr="00204C6F">
        <w:rPr>
          <w:lang w:val="en-US"/>
        </w:rPr>
        <w:t>We use a</w:t>
      </w:r>
      <w:r w:rsidR="00EB007F">
        <w:rPr>
          <w:lang w:val="en-US"/>
        </w:rPr>
        <w:t>n Ecuadorian</w:t>
      </w:r>
      <w:r w:rsidRPr="00204C6F">
        <w:rPr>
          <w:lang w:val="en-US"/>
        </w:rPr>
        <w:t xml:space="preserve"> sample to investigate if there are differences in motivations for business start-up between persons with and without disabilities. Generally, we do not document significant differences. The reason might be </w:t>
      </w:r>
      <w:r w:rsidR="00EB007F">
        <w:rPr>
          <w:lang w:val="en-US"/>
        </w:rPr>
        <w:t xml:space="preserve">that </w:t>
      </w:r>
      <w:r w:rsidR="006D7A4E">
        <w:rPr>
          <w:lang w:val="en-US"/>
        </w:rPr>
        <w:t xml:space="preserve">we use a sample selected among customers of the microfinance bank D-MIRO. Without targeted incentives disabled microfinance customers must resemble non-disabled customers. </w:t>
      </w:r>
      <w:r w:rsidR="002314CF" w:rsidRPr="00204C6F">
        <w:rPr>
          <w:sz w:val="56"/>
          <w:szCs w:val="56"/>
          <w:lang w:val="en-US"/>
        </w:rPr>
        <w:br w:type="page"/>
      </w:r>
    </w:p>
    <w:p w:rsidR="002314CF" w:rsidRPr="00204C6F" w:rsidRDefault="00204C6F" w:rsidP="00204C6F">
      <w:pPr>
        <w:spacing w:after="0" w:line="480" w:lineRule="auto"/>
        <w:jc w:val="both"/>
        <w:rPr>
          <w:b/>
          <w:i/>
          <w:lang w:val="en-US"/>
        </w:rPr>
      </w:pPr>
      <w:r w:rsidRPr="00204C6F">
        <w:rPr>
          <w:b/>
          <w:i/>
          <w:lang w:val="en-US"/>
        </w:rPr>
        <w:lastRenderedPageBreak/>
        <w:t xml:space="preserve">1. </w:t>
      </w:r>
      <w:r w:rsidR="002314CF" w:rsidRPr="00204C6F">
        <w:rPr>
          <w:b/>
          <w:i/>
          <w:lang w:val="en-US"/>
        </w:rPr>
        <w:t>Introduction</w:t>
      </w:r>
    </w:p>
    <w:p w:rsidR="009D11FE" w:rsidRDefault="00CB46B5" w:rsidP="00204C6F">
      <w:pPr>
        <w:spacing w:after="0" w:line="480" w:lineRule="auto"/>
        <w:jc w:val="both"/>
        <w:rPr>
          <w:lang w:val="en-US"/>
        </w:rPr>
      </w:pPr>
      <w:r>
        <w:rPr>
          <w:lang w:val="en-US"/>
        </w:rPr>
        <w:t>In this study we analyze whether the motivation to start up a business differ</w:t>
      </w:r>
      <w:r w:rsidR="00F847AE">
        <w:rPr>
          <w:lang w:val="en-US"/>
        </w:rPr>
        <w:t>s</w:t>
      </w:r>
      <w:r>
        <w:rPr>
          <w:lang w:val="en-US"/>
        </w:rPr>
        <w:t xml:space="preserve"> between persons with disabilities (PWDs) and persons without disabilities.  This is a relevant research question because it is generally believed that employers resist hiring PWDs, either because of pure discrimination or because they believe the working capabilities of PWDs are insufficient for the job in questi</w:t>
      </w:r>
      <w:r w:rsidR="00EB007F">
        <w:rPr>
          <w:lang w:val="en-US"/>
        </w:rPr>
        <w:t>on (Beisland and Mersland, 2012</w:t>
      </w:r>
      <w:r>
        <w:rPr>
          <w:lang w:val="en-US"/>
        </w:rPr>
        <w:t>). Thus, in poor countries most PWDs resort to self-</w:t>
      </w:r>
      <w:r w:rsidR="00EB007F">
        <w:rPr>
          <w:lang w:val="en-US"/>
        </w:rPr>
        <w:t>employment as their main income-</w:t>
      </w:r>
      <w:r>
        <w:rPr>
          <w:lang w:val="en-US"/>
        </w:rPr>
        <w:t xml:space="preserve">generating activities (UN, 2008). </w:t>
      </w:r>
      <w:r w:rsidR="004C40E3">
        <w:rPr>
          <w:lang w:val="en-US"/>
        </w:rPr>
        <w:t>Such activities carried out by individuals without access to formal employment is i</w:t>
      </w:r>
      <w:r w:rsidR="00F847AE">
        <w:rPr>
          <w:lang w:val="en-US"/>
        </w:rPr>
        <w:t xml:space="preserve">n the entrepreneurship literature </w:t>
      </w:r>
      <w:r w:rsidR="004C40E3">
        <w:rPr>
          <w:lang w:val="en-US"/>
        </w:rPr>
        <w:t>termed ‘ne</w:t>
      </w:r>
      <w:r w:rsidR="00F847AE">
        <w:rPr>
          <w:lang w:val="en-US"/>
        </w:rPr>
        <w:t xml:space="preserve">cessity entrepreneurship’ (cf. Williams and Round, 2009). </w:t>
      </w:r>
    </w:p>
    <w:p w:rsidR="004C40E3" w:rsidRDefault="004C40E3" w:rsidP="00204C6F">
      <w:pPr>
        <w:spacing w:after="0" w:line="480" w:lineRule="auto"/>
        <w:jc w:val="both"/>
        <w:rPr>
          <w:lang w:val="en-US"/>
        </w:rPr>
      </w:pPr>
    </w:p>
    <w:p w:rsidR="0073051C" w:rsidRDefault="004C40E3" w:rsidP="0073051C">
      <w:pPr>
        <w:spacing w:after="0" w:line="480" w:lineRule="auto"/>
        <w:jc w:val="both"/>
        <w:rPr>
          <w:lang w:val="en-US"/>
        </w:rPr>
      </w:pPr>
      <w:r>
        <w:rPr>
          <w:lang w:val="en-US"/>
        </w:rPr>
        <w:t>On a random sample comparing start-up motivation we would expect to observe</w:t>
      </w:r>
      <w:r w:rsidR="00CB46B5">
        <w:rPr>
          <w:lang w:val="en-US"/>
        </w:rPr>
        <w:t xml:space="preserve"> a difference in motivations for business start-up between PWDs and </w:t>
      </w:r>
      <w:r>
        <w:rPr>
          <w:lang w:val="en-US"/>
        </w:rPr>
        <w:t xml:space="preserve">non-PWDs. However, in our study the ex-ante prediction is not clear-cut because we use survey evidence from the </w:t>
      </w:r>
      <w:proofErr w:type="spellStart"/>
      <w:r>
        <w:rPr>
          <w:lang w:val="en-US"/>
        </w:rPr>
        <w:t>microbank</w:t>
      </w:r>
      <w:proofErr w:type="spellEnd"/>
      <w:r>
        <w:rPr>
          <w:lang w:val="en-US"/>
        </w:rPr>
        <w:t xml:space="preserve"> Banco D-MIRO in Ecuador. Thus, what we actually compare is whether there are differences in start-up motivation between disabled and non-disabled customers </w:t>
      </w:r>
      <w:r w:rsidR="00DA0B28">
        <w:rPr>
          <w:lang w:val="en-US"/>
        </w:rPr>
        <w:t>of</w:t>
      </w:r>
      <w:r>
        <w:rPr>
          <w:lang w:val="en-US"/>
        </w:rPr>
        <w:t xml:space="preserve"> </w:t>
      </w:r>
      <w:r w:rsidR="00EB007F">
        <w:rPr>
          <w:lang w:val="en-US"/>
        </w:rPr>
        <w:t xml:space="preserve">a </w:t>
      </w:r>
      <w:proofErr w:type="spellStart"/>
      <w:r w:rsidR="00EB007F">
        <w:rPr>
          <w:lang w:val="en-US"/>
        </w:rPr>
        <w:t>micro</w:t>
      </w:r>
      <w:r>
        <w:rPr>
          <w:lang w:val="en-US"/>
        </w:rPr>
        <w:t>bank</w:t>
      </w:r>
      <w:proofErr w:type="spellEnd"/>
      <w:r>
        <w:rPr>
          <w:lang w:val="en-US"/>
        </w:rPr>
        <w:t xml:space="preserve">. </w:t>
      </w:r>
      <w:r w:rsidR="00EB007F">
        <w:rPr>
          <w:lang w:val="en-US"/>
        </w:rPr>
        <w:t>M</w:t>
      </w:r>
      <w:r w:rsidR="0073051C">
        <w:rPr>
          <w:lang w:val="en-US"/>
        </w:rPr>
        <w:t>icrofinance has been criticized for not reaching the most vulnerable groups in society, for instance persons with disabilities (PWDs</w:t>
      </w:r>
      <w:r w:rsidR="00EB007F">
        <w:rPr>
          <w:lang w:val="en-US"/>
        </w:rPr>
        <w:t>) (Beisland and Mersland, 2014), and</w:t>
      </w:r>
      <w:r w:rsidR="0073051C">
        <w:rPr>
          <w:lang w:val="en-US"/>
        </w:rPr>
        <w:t xml:space="preserve"> </w:t>
      </w:r>
      <w:r w:rsidR="00EB007F">
        <w:rPr>
          <w:lang w:val="en-US"/>
        </w:rPr>
        <w:t>i</w:t>
      </w:r>
      <w:r w:rsidR="0073051C">
        <w:rPr>
          <w:lang w:val="en-US"/>
        </w:rPr>
        <w:t xml:space="preserve">n the scarce research on PWDs’ access to microfinance that exists, it is suggested that those PWDs that actually are able </w:t>
      </w:r>
      <w:r w:rsidR="00EB007F">
        <w:rPr>
          <w:lang w:val="en-US"/>
        </w:rPr>
        <w:t>to access microfinance services</w:t>
      </w:r>
      <w:r w:rsidR="0073051C">
        <w:rPr>
          <w:lang w:val="en-US"/>
        </w:rPr>
        <w:t xml:space="preserve"> may be remarkably similar to other clients (</w:t>
      </w:r>
      <w:proofErr w:type="spellStart"/>
      <w:r w:rsidR="0073051C">
        <w:rPr>
          <w:lang w:val="en-US"/>
        </w:rPr>
        <w:t>Nuwagaba</w:t>
      </w:r>
      <w:proofErr w:type="spellEnd"/>
      <w:r w:rsidR="0073051C">
        <w:rPr>
          <w:lang w:val="en-US"/>
        </w:rPr>
        <w:t xml:space="preserve"> et al., 2012; Beisland and Mersland, 2014). Therefore, for this sub-group, one may not observe any differences when comparing PWDs’ motivations for business start-up to those of others. In this field report, we present result consistent with the latter contention.</w:t>
      </w:r>
    </w:p>
    <w:p w:rsidR="00382E0A" w:rsidRDefault="0073051C" w:rsidP="00204C6F">
      <w:pPr>
        <w:spacing w:after="0" w:line="480" w:lineRule="auto"/>
        <w:jc w:val="both"/>
        <w:rPr>
          <w:lang w:val="en-US"/>
        </w:rPr>
      </w:pPr>
      <w:r>
        <w:rPr>
          <w:lang w:val="en-US"/>
        </w:rPr>
        <w:t xml:space="preserve"> </w:t>
      </w:r>
    </w:p>
    <w:p w:rsidR="00C55966" w:rsidRPr="00B34615" w:rsidRDefault="00204C6F" w:rsidP="00204C6F">
      <w:pPr>
        <w:spacing w:after="0" w:line="480" w:lineRule="auto"/>
        <w:jc w:val="both"/>
        <w:rPr>
          <w:b/>
          <w:i/>
          <w:lang w:val="en-US"/>
        </w:rPr>
      </w:pPr>
      <w:r>
        <w:rPr>
          <w:b/>
          <w:i/>
          <w:lang w:val="en-US"/>
        </w:rPr>
        <w:t xml:space="preserve">2. </w:t>
      </w:r>
      <w:r w:rsidR="00C55966" w:rsidRPr="00B34615">
        <w:rPr>
          <w:b/>
          <w:i/>
          <w:lang w:val="en-US"/>
        </w:rPr>
        <w:t>Data sample and findings</w:t>
      </w:r>
    </w:p>
    <w:p w:rsidR="00C55966" w:rsidRDefault="00204C6F" w:rsidP="00204C6F">
      <w:pPr>
        <w:spacing w:after="0" w:line="480" w:lineRule="auto"/>
        <w:jc w:val="both"/>
        <w:rPr>
          <w:rFonts w:cstheme="minorHAnsi"/>
          <w:lang w:val="en-US"/>
        </w:rPr>
      </w:pPr>
      <w:r>
        <w:rPr>
          <w:rFonts w:cstheme="minorHAnsi"/>
          <w:lang w:val="en-US"/>
        </w:rPr>
        <w:t>Banco D-MIRO</w:t>
      </w:r>
      <w:r w:rsidR="00C7688D" w:rsidRPr="001C74DF">
        <w:rPr>
          <w:rFonts w:cstheme="minorHAnsi"/>
          <w:lang w:val="en-US"/>
        </w:rPr>
        <w:t xml:space="preserve"> is wholly owned by the Norwegian Mission Alliance, a faith-based international NGO and is regulated as a regular commercial bank by Ecuadorian banking authorities. The bank is a </w:t>
      </w:r>
      <w:r w:rsidR="00EB007F">
        <w:rPr>
          <w:rFonts w:cstheme="minorHAnsi"/>
          <w:lang w:val="en-US"/>
        </w:rPr>
        <w:lastRenderedPageBreak/>
        <w:t xml:space="preserve">typical example of a microfinance institution </w:t>
      </w:r>
      <w:r w:rsidR="00C7688D" w:rsidRPr="001C74DF">
        <w:rPr>
          <w:rFonts w:cstheme="minorHAnsi"/>
          <w:lang w:val="en-US"/>
        </w:rPr>
        <w:t xml:space="preserve">with </w:t>
      </w:r>
      <w:r w:rsidR="00230A2D">
        <w:rPr>
          <w:rFonts w:cstheme="minorHAnsi"/>
          <w:lang w:val="en-US"/>
        </w:rPr>
        <w:t xml:space="preserve">strong </w:t>
      </w:r>
      <w:r w:rsidR="00C7688D" w:rsidRPr="001C74DF">
        <w:rPr>
          <w:rFonts w:cstheme="minorHAnsi"/>
          <w:lang w:val="en-US"/>
        </w:rPr>
        <w:t xml:space="preserve">social motives </w:t>
      </w:r>
      <w:r w:rsidR="00230A2D">
        <w:rPr>
          <w:rFonts w:cstheme="minorHAnsi"/>
          <w:lang w:val="en-US"/>
        </w:rPr>
        <w:t>combined with</w:t>
      </w:r>
      <w:r w:rsidR="00C7688D" w:rsidRPr="001C74DF">
        <w:rPr>
          <w:rFonts w:cstheme="minorHAnsi"/>
          <w:lang w:val="en-US"/>
        </w:rPr>
        <w:t xml:space="preserve"> an objective of long-term survival.</w:t>
      </w:r>
      <w:r w:rsidR="00C7688D" w:rsidRPr="00C7688D">
        <w:rPr>
          <w:rFonts w:cstheme="minorHAnsi"/>
          <w:lang w:val="en-US"/>
        </w:rPr>
        <w:t xml:space="preserve"> </w:t>
      </w:r>
      <w:r w:rsidR="00C7688D" w:rsidRPr="001C74DF">
        <w:rPr>
          <w:rFonts w:cstheme="minorHAnsi"/>
          <w:lang w:val="en-US"/>
        </w:rPr>
        <w:t xml:space="preserve">A telephone survey with a response rate of </w:t>
      </w:r>
      <w:r>
        <w:rPr>
          <w:rFonts w:cstheme="minorHAnsi"/>
          <w:lang w:val="en-US"/>
        </w:rPr>
        <w:t xml:space="preserve">approximately 50% was </w:t>
      </w:r>
      <w:r w:rsidR="00C7688D" w:rsidRPr="001C74DF">
        <w:rPr>
          <w:rFonts w:cstheme="minorHAnsi"/>
          <w:lang w:val="en-US"/>
        </w:rPr>
        <w:t>conducted</w:t>
      </w:r>
      <w:r>
        <w:rPr>
          <w:rFonts w:cstheme="minorHAnsi"/>
          <w:lang w:val="en-US"/>
        </w:rPr>
        <w:t xml:space="preserve"> among D-MIRO’s clients</w:t>
      </w:r>
      <w:r w:rsidR="00C7688D" w:rsidRPr="001C74DF">
        <w:rPr>
          <w:rFonts w:cstheme="minorHAnsi"/>
          <w:lang w:val="en-US"/>
        </w:rPr>
        <w:t xml:space="preserve"> during the second half of 2012. The sample consists of both PWDs and a control sample of non-PWDs.</w:t>
      </w:r>
      <w:r w:rsidR="00C7688D">
        <w:rPr>
          <w:rFonts w:cstheme="minorHAnsi"/>
          <w:lang w:val="en-US"/>
        </w:rPr>
        <w:t xml:space="preserve"> Of the 281 respondents included in this study, 96 have a disability (at least on</w:t>
      </w:r>
      <w:r w:rsidR="00230A2D">
        <w:rPr>
          <w:rFonts w:cstheme="minorHAnsi"/>
          <w:lang w:val="en-US"/>
        </w:rPr>
        <w:t>e</w:t>
      </w:r>
      <w:r w:rsidR="00C7688D">
        <w:rPr>
          <w:rFonts w:cstheme="minorHAnsi"/>
          <w:lang w:val="en-US"/>
        </w:rPr>
        <w:t xml:space="preserve">). </w:t>
      </w:r>
    </w:p>
    <w:p w:rsidR="00C7688D" w:rsidRDefault="00C7688D" w:rsidP="00204C6F">
      <w:pPr>
        <w:spacing w:after="0" w:line="480" w:lineRule="auto"/>
        <w:jc w:val="both"/>
        <w:rPr>
          <w:rFonts w:cstheme="minorHAnsi"/>
          <w:lang w:val="en-US"/>
        </w:rPr>
      </w:pPr>
    </w:p>
    <w:p w:rsidR="00A90168" w:rsidRDefault="008E2ACC" w:rsidP="00204C6F">
      <w:pPr>
        <w:spacing w:after="0" w:line="480" w:lineRule="auto"/>
        <w:jc w:val="both"/>
        <w:rPr>
          <w:lang w:val="en-US"/>
        </w:rPr>
      </w:pPr>
      <w:r>
        <w:rPr>
          <w:rFonts w:cstheme="minorHAnsi"/>
          <w:lang w:val="en-US"/>
        </w:rPr>
        <w:t>E</w:t>
      </w:r>
      <w:r w:rsidR="00C7688D">
        <w:rPr>
          <w:rFonts w:cstheme="minorHAnsi"/>
          <w:lang w:val="en-US"/>
        </w:rPr>
        <w:t xml:space="preserve">ach respondent could choose among nine </w:t>
      </w:r>
      <w:r w:rsidR="00230A2D">
        <w:rPr>
          <w:rFonts w:cstheme="minorHAnsi"/>
          <w:lang w:val="en-US"/>
        </w:rPr>
        <w:t xml:space="preserve">potential </w:t>
      </w:r>
      <w:r w:rsidR="00C7688D">
        <w:rPr>
          <w:rFonts w:cstheme="minorHAnsi"/>
          <w:lang w:val="en-US"/>
        </w:rPr>
        <w:t>motivations</w:t>
      </w:r>
      <w:r w:rsidR="00230A2D">
        <w:rPr>
          <w:rFonts w:cstheme="minorHAnsi"/>
          <w:lang w:val="en-US"/>
        </w:rPr>
        <w:t xml:space="preserve"> for starting their businesses</w:t>
      </w:r>
      <w:r w:rsidR="00C7688D">
        <w:rPr>
          <w:rFonts w:cstheme="minorHAnsi"/>
          <w:lang w:val="en-US"/>
        </w:rPr>
        <w:t xml:space="preserve">. The respondents were allowed to tick more than one alternative. </w:t>
      </w:r>
      <w:r w:rsidR="00E846F8">
        <w:rPr>
          <w:rFonts w:cstheme="minorHAnsi"/>
          <w:lang w:val="en-US"/>
        </w:rPr>
        <w:t xml:space="preserve">As indicated in </w:t>
      </w:r>
      <w:r w:rsidR="00BC2557">
        <w:rPr>
          <w:rFonts w:cstheme="minorHAnsi"/>
          <w:lang w:val="en-US"/>
        </w:rPr>
        <w:t xml:space="preserve">the t-tests reported in </w:t>
      </w:r>
      <w:r w:rsidR="00E846F8">
        <w:rPr>
          <w:rFonts w:cstheme="minorHAnsi"/>
          <w:lang w:val="en-US"/>
        </w:rPr>
        <w:t>Table 1 the difference in motivations between disabled and non-disabled customers is negligible. As the non-disabled respondents also the</w:t>
      </w:r>
      <w:r w:rsidR="00C7688D">
        <w:rPr>
          <w:rFonts w:cstheme="minorHAnsi"/>
          <w:lang w:val="en-US"/>
        </w:rPr>
        <w:t xml:space="preserve"> </w:t>
      </w:r>
      <w:r>
        <w:rPr>
          <w:rFonts w:cstheme="minorHAnsi"/>
          <w:lang w:val="en-US"/>
        </w:rPr>
        <w:t xml:space="preserve">disabled </w:t>
      </w:r>
      <w:r w:rsidR="00C7688D">
        <w:rPr>
          <w:rFonts w:cstheme="minorHAnsi"/>
          <w:lang w:val="en-US"/>
        </w:rPr>
        <w:t xml:space="preserve">respondents </w:t>
      </w:r>
      <w:r w:rsidR="00BC2557">
        <w:rPr>
          <w:rFonts w:cstheme="minorHAnsi"/>
          <w:lang w:val="en-US"/>
        </w:rPr>
        <w:t xml:space="preserve">generally </w:t>
      </w:r>
      <w:r w:rsidR="00C7688D">
        <w:rPr>
          <w:rFonts w:cstheme="minorHAnsi"/>
          <w:lang w:val="en-US"/>
        </w:rPr>
        <w:t>ticked “To earn more money”</w:t>
      </w:r>
      <w:r w:rsidR="00E846F8">
        <w:rPr>
          <w:rFonts w:cstheme="minorHAnsi"/>
          <w:lang w:val="en-US"/>
        </w:rPr>
        <w:t xml:space="preserve">, </w:t>
      </w:r>
      <w:r w:rsidR="00C7688D">
        <w:rPr>
          <w:rFonts w:cstheme="minorHAnsi"/>
          <w:lang w:val="en-US"/>
        </w:rPr>
        <w:t xml:space="preserve">“To supplement family income” and “To be entrepreneur/self-employed”. Only 24% </w:t>
      </w:r>
      <w:r w:rsidR="00BC2557">
        <w:rPr>
          <w:rFonts w:cstheme="minorHAnsi"/>
          <w:lang w:val="en-US"/>
        </w:rPr>
        <w:t xml:space="preserve">of the disabled sample </w:t>
      </w:r>
      <w:r w:rsidR="00C7688D">
        <w:rPr>
          <w:rFonts w:cstheme="minorHAnsi"/>
          <w:lang w:val="en-US"/>
        </w:rPr>
        <w:t>ticked the “Lack of opport</w:t>
      </w:r>
      <w:r w:rsidR="004D45E2">
        <w:rPr>
          <w:rFonts w:cstheme="minorHAnsi"/>
          <w:lang w:val="en-US"/>
        </w:rPr>
        <w:t>unities elsewhere” alternative</w:t>
      </w:r>
      <w:r w:rsidR="00BC2557">
        <w:rPr>
          <w:rFonts w:cstheme="minorHAnsi"/>
          <w:lang w:val="en-US"/>
        </w:rPr>
        <w:t>. The only</w:t>
      </w:r>
      <w:r w:rsidR="00925ABB">
        <w:rPr>
          <w:rFonts w:cstheme="minorHAnsi"/>
          <w:lang w:val="en-US"/>
        </w:rPr>
        <w:t xml:space="preserve"> significant difference</w:t>
      </w:r>
      <w:r w:rsidR="004D45E2">
        <w:rPr>
          <w:rFonts w:cstheme="minorHAnsi"/>
          <w:lang w:val="en-US"/>
        </w:rPr>
        <w:t xml:space="preserve"> </w:t>
      </w:r>
      <w:r w:rsidR="00BC2557">
        <w:rPr>
          <w:rFonts w:cstheme="minorHAnsi"/>
          <w:lang w:val="en-US"/>
        </w:rPr>
        <w:t>between the two groups is on</w:t>
      </w:r>
      <w:r w:rsidR="004D45E2">
        <w:rPr>
          <w:rFonts w:cstheme="minorHAnsi"/>
          <w:lang w:val="en-US"/>
        </w:rPr>
        <w:t xml:space="preserve"> “To overcome difficulties and limitations which I had in my last job”</w:t>
      </w:r>
      <w:r w:rsidR="006D1904">
        <w:rPr>
          <w:rFonts w:cstheme="minorHAnsi"/>
          <w:lang w:val="en-US"/>
        </w:rPr>
        <w:t>,</w:t>
      </w:r>
      <w:r w:rsidR="004D45E2">
        <w:rPr>
          <w:rFonts w:cstheme="minorHAnsi"/>
          <w:lang w:val="en-US"/>
        </w:rPr>
        <w:t xml:space="preserve"> </w:t>
      </w:r>
      <w:r w:rsidR="00BC2557">
        <w:rPr>
          <w:rFonts w:cstheme="minorHAnsi"/>
          <w:lang w:val="en-US"/>
        </w:rPr>
        <w:t xml:space="preserve">though </w:t>
      </w:r>
      <w:r w:rsidR="00EB007F">
        <w:rPr>
          <w:rFonts w:cstheme="minorHAnsi"/>
          <w:lang w:val="en-US"/>
        </w:rPr>
        <w:t xml:space="preserve">it is somewhat surprising that </w:t>
      </w:r>
      <w:r w:rsidR="00BC2557">
        <w:rPr>
          <w:rFonts w:cstheme="minorHAnsi"/>
          <w:lang w:val="en-US"/>
        </w:rPr>
        <w:t>only</w:t>
      </w:r>
      <w:r w:rsidR="004D45E2">
        <w:rPr>
          <w:rFonts w:cstheme="minorHAnsi"/>
          <w:lang w:val="en-US"/>
        </w:rPr>
        <w:t xml:space="preserve"> 5% of the PWDs</w:t>
      </w:r>
      <w:r w:rsidR="00BC2557">
        <w:rPr>
          <w:rFonts w:cstheme="minorHAnsi"/>
          <w:lang w:val="en-US"/>
        </w:rPr>
        <w:t xml:space="preserve"> ticked this alternative</w:t>
      </w:r>
      <w:r w:rsidR="004D45E2">
        <w:rPr>
          <w:rFonts w:cstheme="minorHAnsi"/>
          <w:lang w:val="en-US"/>
        </w:rPr>
        <w:t xml:space="preserve">. </w:t>
      </w:r>
      <w:r w:rsidR="00480615">
        <w:rPr>
          <w:rFonts w:cstheme="minorHAnsi"/>
          <w:lang w:val="en-US"/>
        </w:rPr>
        <w:t>It is notable that</w:t>
      </w:r>
      <w:r w:rsidR="00480615">
        <w:rPr>
          <w:lang w:val="en-US"/>
        </w:rPr>
        <w:t xml:space="preserve"> disabled clients are more often male, they are older, less likely to be married, and have fewer children compared with non-disabled clients. However, </w:t>
      </w:r>
      <w:r w:rsidR="00480615">
        <w:rPr>
          <w:rFonts w:cstheme="minorHAnsi"/>
          <w:lang w:val="en-US"/>
        </w:rPr>
        <w:t>t</w:t>
      </w:r>
      <w:r w:rsidR="00BC2557">
        <w:rPr>
          <w:rFonts w:cstheme="minorHAnsi"/>
          <w:lang w:val="en-US"/>
        </w:rPr>
        <w:t xml:space="preserve">he non-difference between the samples is upheld when we carry out a multivariate logit regression </w:t>
      </w:r>
      <w:r w:rsidR="006D1904">
        <w:rPr>
          <w:rFonts w:cstheme="minorHAnsi"/>
          <w:lang w:val="en-US"/>
        </w:rPr>
        <w:t xml:space="preserve">in which </w:t>
      </w:r>
      <w:r w:rsidR="00480615">
        <w:rPr>
          <w:rFonts w:cstheme="minorHAnsi"/>
          <w:lang w:val="en-US"/>
        </w:rPr>
        <w:t xml:space="preserve">these </w:t>
      </w:r>
      <w:r w:rsidR="006D1904">
        <w:rPr>
          <w:rFonts w:cstheme="minorHAnsi"/>
          <w:lang w:val="en-US"/>
        </w:rPr>
        <w:t xml:space="preserve">differences in personal characteristics are controlled for </w:t>
      </w:r>
      <w:r w:rsidR="00BC2557">
        <w:rPr>
          <w:rFonts w:cstheme="minorHAnsi"/>
          <w:lang w:val="en-US"/>
        </w:rPr>
        <w:t xml:space="preserve">(unreported). </w:t>
      </w:r>
      <w:r w:rsidR="00B34615">
        <w:rPr>
          <w:lang w:val="en-US"/>
        </w:rPr>
        <w:t xml:space="preserve"> </w:t>
      </w:r>
    </w:p>
    <w:p w:rsidR="00B34615" w:rsidRDefault="00B34615" w:rsidP="00204C6F">
      <w:pPr>
        <w:spacing w:after="0" w:line="480" w:lineRule="auto"/>
        <w:jc w:val="both"/>
        <w:rPr>
          <w:lang w:val="en-US"/>
        </w:rPr>
      </w:pPr>
    </w:p>
    <w:p w:rsidR="00B34615" w:rsidRPr="00204C6F" w:rsidRDefault="000E0972" w:rsidP="00204C6F">
      <w:pPr>
        <w:spacing w:after="0" w:line="480" w:lineRule="auto"/>
        <w:jc w:val="both"/>
        <w:rPr>
          <w:b/>
          <w:i/>
          <w:lang w:val="en-US"/>
        </w:rPr>
      </w:pPr>
      <w:r>
        <w:rPr>
          <w:b/>
          <w:i/>
          <w:lang w:val="en-US"/>
        </w:rPr>
        <w:t xml:space="preserve">3. </w:t>
      </w:r>
      <w:r w:rsidR="007B7E16">
        <w:rPr>
          <w:b/>
          <w:i/>
          <w:lang w:val="en-US"/>
        </w:rPr>
        <w:t>Conclusions</w:t>
      </w:r>
      <w:r w:rsidR="00EE2FEF">
        <w:rPr>
          <w:b/>
          <w:i/>
          <w:lang w:val="en-US"/>
        </w:rPr>
        <w:t xml:space="preserve"> and implication</w:t>
      </w:r>
      <w:r w:rsidR="007B7E16">
        <w:rPr>
          <w:b/>
          <w:i/>
          <w:lang w:val="en-US"/>
        </w:rPr>
        <w:t>s</w:t>
      </w:r>
    </w:p>
    <w:p w:rsidR="00B34615" w:rsidRDefault="00EE2FEF" w:rsidP="00204C6F">
      <w:pPr>
        <w:spacing w:after="0" w:line="480" w:lineRule="auto"/>
        <w:jc w:val="both"/>
        <w:rPr>
          <w:lang w:val="en-US"/>
        </w:rPr>
      </w:pPr>
      <w:r>
        <w:rPr>
          <w:lang w:val="en-US"/>
        </w:rPr>
        <w:t>Even if Banco D-MIRO has a strong social motivation w</w:t>
      </w:r>
      <w:r w:rsidR="0042370B">
        <w:rPr>
          <w:lang w:val="en-US"/>
        </w:rPr>
        <w:t xml:space="preserve">e believe the financial sustainability component of </w:t>
      </w:r>
      <w:r>
        <w:rPr>
          <w:lang w:val="en-US"/>
        </w:rPr>
        <w:t xml:space="preserve">a </w:t>
      </w:r>
      <w:proofErr w:type="spellStart"/>
      <w:r w:rsidR="0042370B">
        <w:rPr>
          <w:lang w:val="en-US"/>
        </w:rPr>
        <w:t>microbank</w:t>
      </w:r>
      <w:r>
        <w:rPr>
          <w:lang w:val="en-US"/>
        </w:rPr>
        <w:t>’</w:t>
      </w:r>
      <w:r w:rsidR="0042370B">
        <w:rPr>
          <w:lang w:val="en-US"/>
        </w:rPr>
        <w:t>s</w:t>
      </w:r>
      <w:proofErr w:type="spellEnd"/>
      <w:r w:rsidR="0042370B">
        <w:rPr>
          <w:lang w:val="en-US"/>
        </w:rPr>
        <w:t xml:space="preserve"> dual objectives contribute to explaining the findings. Credit officers’ incentives are constructed so that the repayment risk is kept low. PWDs are considered risky clients and are only taken on if they resemble other, non-disabled clients. </w:t>
      </w:r>
      <w:r w:rsidR="00A16AB3">
        <w:rPr>
          <w:lang w:val="en-US"/>
        </w:rPr>
        <w:t xml:space="preserve">If these PWDs are also the poorest and most vulnerable, our findings are unfortunate. </w:t>
      </w:r>
    </w:p>
    <w:p w:rsidR="00A16AB3" w:rsidRDefault="00A16AB3" w:rsidP="00204C6F">
      <w:pPr>
        <w:spacing w:after="0" w:line="480" w:lineRule="auto"/>
        <w:jc w:val="both"/>
        <w:rPr>
          <w:lang w:val="en-US"/>
        </w:rPr>
      </w:pPr>
    </w:p>
    <w:p w:rsidR="00A16AB3" w:rsidRDefault="00A16AB3" w:rsidP="00204C6F">
      <w:pPr>
        <w:spacing w:after="0" w:line="480" w:lineRule="auto"/>
        <w:jc w:val="both"/>
        <w:rPr>
          <w:lang w:val="en-US"/>
        </w:rPr>
      </w:pPr>
      <w:r>
        <w:rPr>
          <w:lang w:val="en-US"/>
        </w:rPr>
        <w:lastRenderedPageBreak/>
        <w:t xml:space="preserve">In addition to </w:t>
      </w:r>
      <w:r w:rsidRPr="001C74DF">
        <w:rPr>
          <w:lang w:val="en-US"/>
        </w:rPr>
        <w:t>the design of special incentives for credit officers’ inclusion of PWDs in their portfolios (Labie et al., 2010)</w:t>
      </w:r>
      <w:r>
        <w:rPr>
          <w:lang w:val="en-US"/>
        </w:rPr>
        <w:t>, we believe</w:t>
      </w:r>
      <w:r w:rsidRPr="001C74DF">
        <w:rPr>
          <w:lang w:val="en-US"/>
        </w:rPr>
        <w:t xml:space="preserve"> well-structured funds to guarantee PWDs’ repayment of loans could be assessed.</w:t>
      </w:r>
      <w:r>
        <w:rPr>
          <w:lang w:val="en-US"/>
        </w:rPr>
        <w:t xml:space="preserve"> Targeted marketing efforts may also be effective</w:t>
      </w:r>
      <w:r w:rsidR="00E32C18">
        <w:rPr>
          <w:lang w:val="en-US"/>
        </w:rPr>
        <w:t xml:space="preserve"> (Beisland &amp; Mersland, 2014</w:t>
      </w:r>
      <w:r w:rsidR="00FD2701">
        <w:rPr>
          <w:lang w:val="en-US"/>
        </w:rPr>
        <w:t>)</w:t>
      </w:r>
      <w:r w:rsidR="00CF6192">
        <w:rPr>
          <w:lang w:val="en-US"/>
        </w:rPr>
        <w:t xml:space="preserve">. </w:t>
      </w:r>
      <w:r w:rsidR="00FD2701">
        <w:rPr>
          <w:lang w:val="en-US"/>
        </w:rPr>
        <w:t xml:space="preserve"> </w:t>
      </w:r>
      <w:r>
        <w:rPr>
          <w:lang w:val="en-US"/>
        </w:rPr>
        <w:t xml:space="preserve">It is important, though, to remember that microcredit might put </w:t>
      </w:r>
      <w:r w:rsidR="00EE2FEF">
        <w:rPr>
          <w:lang w:val="en-US"/>
        </w:rPr>
        <w:t xml:space="preserve">a </w:t>
      </w:r>
      <w:r>
        <w:rPr>
          <w:lang w:val="en-US"/>
        </w:rPr>
        <w:t xml:space="preserve">person in a </w:t>
      </w:r>
      <w:r w:rsidRPr="000D38DE">
        <w:rPr>
          <w:i/>
          <w:lang w:val="en-US"/>
        </w:rPr>
        <w:t>worse</w:t>
      </w:r>
      <w:r>
        <w:rPr>
          <w:lang w:val="en-US"/>
        </w:rPr>
        <w:t xml:space="preserve"> position </w:t>
      </w:r>
      <w:r w:rsidR="00CF6192">
        <w:rPr>
          <w:lang w:val="en-US"/>
        </w:rPr>
        <w:t xml:space="preserve">if </w:t>
      </w:r>
      <w:r>
        <w:rPr>
          <w:lang w:val="en-US"/>
        </w:rPr>
        <w:t xml:space="preserve">he/she </w:t>
      </w:r>
      <w:r w:rsidR="00CF6192">
        <w:rPr>
          <w:lang w:val="en-US"/>
        </w:rPr>
        <w:t>does not have sufficient repayment capacity</w:t>
      </w:r>
      <w:r w:rsidR="006D7A4E">
        <w:rPr>
          <w:lang w:val="en-US"/>
        </w:rPr>
        <w:t xml:space="preserve">. </w:t>
      </w:r>
      <w:r>
        <w:rPr>
          <w:lang w:val="en-US"/>
        </w:rPr>
        <w:t xml:space="preserve"> </w:t>
      </w:r>
    </w:p>
    <w:p w:rsidR="000531C1" w:rsidRDefault="000531C1">
      <w:pPr>
        <w:rPr>
          <w:lang w:val="en-US"/>
        </w:rPr>
      </w:pPr>
      <w:r>
        <w:rPr>
          <w:lang w:val="en-US"/>
        </w:rPr>
        <w:br w:type="page"/>
      </w:r>
    </w:p>
    <w:p w:rsidR="00204C6F" w:rsidRPr="00FD76FF" w:rsidRDefault="00204C6F" w:rsidP="00204C6F">
      <w:pPr>
        <w:spacing w:after="0" w:line="480" w:lineRule="auto"/>
        <w:jc w:val="both"/>
        <w:rPr>
          <w:b/>
          <w:i/>
          <w:lang w:val="en-US"/>
        </w:rPr>
      </w:pPr>
      <w:r w:rsidRPr="00FD76FF">
        <w:rPr>
          <w:b/>
          <w:i/>
          <w:lang w:val="en-US"/>
        </w:rPr>
        <w:lastRenderedPageBreak/>
        <w:t>References</w:t>
      </w:r>
    </w:p>
    <w:p w:rsidR="00FD76FF" w:rsidRPr="00FD76FF" w:rsidRDefault="00FD76FF" w:rsidP="00E049C8">
      <w:pPr>
        <w:spacing w:after="0" w:line="240" w:lineRule="auto"/>
        <w:ind w:left="720" w:hanging="720"/>
        <w:jc w:val="both"/>
        <w:rPr>
          <w:rFonts w:ascii="Calibri" w:hAnsi="Calibri"/>
          <w:noProof/>
          <w:lang w:val="en-US"/>
        </w:rPr>
      </w:pPr>
      <w:bookmarkStart w:id="1" w:name="_ENREF_2"/>
      <w:r w:rsidRPr="002D5963">
        <w:rPr>
          <w:rFonts w:ascii="Calibri" w:hAnsi="Calibri"/>
          <w:noProof/>
          <w:lang w:val="en-US"/>
        </w:rPr>
        <w:t xml:space="preserve">Beisland, L. A., &amp; Mersland, R. (2012). </w:t>
      </w:r>
      <w:r w:rsidRPr="00FD76FF">
        <w:rPr>
          <w:rFonts w:ascii="Calibri" w:hAnsi="Calibri"/>
          <w:noProof/>
          <w:lang w:val="en-US"/>
        </w:rPr>
        <w:t>The use of microfinance services among economically active disabled people: E</w:t>
      </w:r>
      <w:r w:rsidR="000531C1">
        <w:rPr>
          <w:rFonts w:ascii="Calibri" w:hAnsi="Calibri"/>
          <w:noProof/>
          <w:lang w:val="en-US"/>
        </w:rPr>
        <w:t xml:space="preserve">vidence from Uganda. </w:t>
      </w:r>
      <w:r w:rsidRPr="00FD76FF">
        <w:rPr>
          <w:rFonts w:ascii="Calibri" w:hAnsi="Calibri"/>
          <w:i/>
          <w:noProof/>
          <w:lang w:val="en-US"/>
        </w:rPr>
        <w:t>Journal of International Development, 24</w:t>
      </w:r>
      <w:r w:rsidRPr="00FD76FF">
        <w:rPr>
          <w:rFonts w:ascii="Calibri" w:hAnsi="Calibri"/>
          <w:noProof/>
          <w:lang w:val="en-US"/>
        </w:rPr>
        <w:t xml:space="preserve">, S69-S83. </w:t>
      </w:r>
      <w:bookmarkEnd w:id="1"/>
    </w:p>
    <w:p w:rsidR="00FD76FF" w:rsidRPr="00FD76FF" w:rsidRDefault="00FD76FF" w:rsidP="00E049C8">
      <w:pPr>
        <w:spacing w:after="0" w:line="240" w:lineRule="auto"/>
        <w:ind w:left="720" w:hanging="720"/>
        <w:jc w:val="both"/>
        <w:rPr>
          <w:rFonts w:ascii="Calibri" w:hAnsi="Calibri"/>
          <w:noProof/>
          <w:lang w:val="en-US"/>
        </w:rPr>
      </w:pPr>
      <w:bookmarkStart w:id="2" w:name="_ENREF_3"/>
      <w:r w:rsidRPr="00FD76FF">
        <w:rPr>
          <w:rFonts w:ascii="Calibri" w:hAnsi="Calibri"/>
          <w:noProof/>
          <w:lang w:val="en-US"/>
        </w:rPr>
        <w:t xml:space="preserve">Beisland, L. A., &amp; Mersland, R. (2014). Income Characteristics and the Use of Microfinance Services: Evidence from Economically Active Persons with Disabilities. </w:t>
      </w:r>
      <w:r w:rsidRPr="00FD76FF">
        <w:rPr>
          <w:rFonts w:ascii="Calibri" w:hAnsi="Calibri"/>
          <w:i/>
          <w:noProof/>
          <w:lang w:val="en-US"/>
        </w:rPr>
        <w:t>Disability &amp; Society, 29</w:t>
      </w:r>
      <w:r w:rsidRPr="00FD76FF">
        <w:rPr>
          <w:rFonts w:ascii="Calibri" w:hAnsi="Calibri"/>
          <w:noProof/>
          <w:lang w:val="en-US"/>
        </w:rPr>
        <w:t xml:space="preserve">, 417-430. </w:t>
      </w:r>
      <w:bookmarkEnd w:id="2"/>
    </w:p>
    <w:p w:rsidR="00161D27" w:rsidRPr="00161D27" w:rsidRDefault="00161D27" w:rsidP="00E049C8">
      <w:pPr>
        <w:spacing w:after="0" w:line="240" w:lineRule="auto"/>
        <w:ind w:left="720" w:hanging="720"/>
        <w:jc w:val="both"/>
        <w:rPr>
          <w:rFonts w:ascii="Calibri" w:hAnsi="Calibri"/>
          <w:noProof/>
          <w:lang w:val="en-US"/>
        </w:rPr>
      </w:pPr>
      <w:bookmarkStart w:id="3" w:name="_ENREF_5"/>
      <w:r w:rsidRPr="00161D27">
        <w:rPr>
          <w:rFonts w:ascii="Calibri" w:hAnsi="Calibri"/>
          <w:noProof/>
          <w:lang w:val="en-US"/>
        </w:rPr>
        <w:t xml:space="preserve">Labie, M., Meon, P. G., &amp; Mersland, R. (2010). </w:t>
      </w:r>
      <w:r w:rsidRPr="00161D27">
        <w:rPr>
          <w:rFonts w:ascii="Calibri" w:hAnsi="Calibri"/>
          <w:i/>
          <w:noProof/>
          <w:lang w:val="en-US"/>
        </w:rPr>
        <w:t>Discrimination by Microcredit Officers: Theory and Evidence on Disability in Uganda</w:t>
      </w:r>
      <w:r w:rsidRPr="00161D27">
        <w:rPr>
          <w:rFonts w:ascii="Calibri" w:hAnsi="Calibri"/>
          <w:noProof/>
          <w:lang w:val="en-US"/>
        </w:rPr>
        <w:t xml:space="preserve">. </w:t>
      </w:r>
      <w:r>
        <w:rPr>
          <w:rFonts w:ascii="Calibri" w:hAnsi="Calibri"/>
          <w:noProof/>
          <w:lang w:val="en-US"/>
        </w:rPr>
        <w:t xml:space="preserve">Brussels: </w:t>
      </w:r>
      <w:r w:rsidR="00E51C49" w:rsidRPr="00161D27">
        <w:rPr>
          <w:rFonts w:ascii="Calibri" w:hAnsi="Calibri"/>
          <w:noProof/>
          <w:lang w:val="en-US"/>
        </w:rPr>
        <w:t>Centre Emile Bernheim</w:t>
      </w:r>
      <w:r w:rsidR="00E51C49">
        <w:rPr>
          <w:rFonts w:ascii="Calibri" w:hAnsi="Calibri"/>
          <w:noProof/>
          <w:lang w:val="en-US"/>
        </w:rPr>
        <w:t>,</w:t>
      </w:r>
      <w:r w:rsidR="00E51C49" w:rsidRPr="00161D27">
        <w:rPr>
          <w:rFonts w:ascii="Calibri" w:hAnsi="Calibri"/>
          <w:noProof/>
          <w:lang w:val="en-US"/>
        </w:rPr>
        <w:t xml:space="preserve"> </w:t>
      </w:r>
      <w:r w:rsidRPr="00161D27">
        <w:rPr>
          <w:rFonts w:ascii="Calibri" w:hAnsi="Calibri"/>
          <w:noProof/>
          <w:lang w:val="en-US"/>
        </w:rPr>
        <w:t>Solvay Brussels School of</w:t>
      </w:r>
      <w:r w:rsidR="00E51C49">
        <w:rPr>
          <w:rFonts w:ascii="Calibri" w:hAnsi="Calibri"/>
          <w:noProof/>
          <w:lang w:val="en-US"/>
        </w:rPr>
        <w:t xml:space="preserve"> Economics and Management</w:t>
      </w:r>
      <w:r w:rsidRPr="00161D27">
        <w:rPr>
          <w:rFonts w:ascii="Calibri" w:hAnsi="Calibri"/>
          <w:noProof/>
          <w:lang w:val="en-US"/>
        </w:rPr>
        <w:t>.</w:t>
      </w:r>
    </w:p>
    <w:p w:rsidR="00FD76FF" w:rsidRPr="00FD76FF" w:rsidRDefault="00FD76FF" w:rsidP="00E049C8">
      <w:pPr>
        <w:spacing w:after="0" w:line="240" w:lineRule="auto"/>
        <w:ind w:left="720" w:hanging="720"/>
        <w:jc w:val="both"/>
        <w:rPr>
          <w:rFonts w:ascii="Calibri" w:hAnsi="Calibri"/>
          <w:noProof/>
          <w:lang w:val="en-US"/>
        </w:rPr>
      </w:pPr>
      <w:r w:rsidRPr="00FD76FF">
        <w:rPr>
          <w:rFonts w:ascii="Calibri" w:hAnsi="Calibri"/>
          <w:noProof/>
          <w:lang w:val="en-US"/>
        </w:rPr>
        <w:t xml:space="preserve">Nuwagaba, E. L., Nakabugo, M., Tumukunde, M., Ngirabakunzi, E., Hartley, S., &amp; Wade, A. (2012). Accessibility to micro-finance services by people with disabilities in Bushenyi District, Uganda. </w:t>
      </w:r>
      <w:r w:rsidRPr="00FD76FF">
        <w:rPr>
          <w:rFonts w:ascii="Calibri" w:hAnsi="Calibri"/>
          <w:i/>
          <w:noProof/>
          <w:lang w:val="en-US"/>
        </w:rPr>
        <w:t>Disability and Society, 27</w:t>
      </w:r>
      <w:r w:rsidRPr="00FD76FF">
        <w:rPr>
          <w:rFonts w:ascii="Calibri" w:hAnsi="Calibri"/>
          <w:noProof/>
          <w:lang w:val="en-US"/>
        </w:rPr>
        <w:t xml:space="preserve">, 175-190. </w:t>
      </w:r>
      <w:bookmarkEnd w:id="3"/>
    </w:p>
    <w:p w:rsidR="00FD76FF" w:rsidRPr="00ED0F6A" w:rsidRDefault="00FD76FF" w:rsidP="00E049C8">
      <w:pPr>
        <w:spacing w:after="0" w:line="240" w:lineRule="auto"/>
        <w:ind w:left="720" w:hanging="720"/>
        <w:jc w:val="both"/>
        <w:rPr>
          <w:rFonts w:ascii="Calibri" w:hAnsi="Calibri"/>
          <w:noProof/>
          <w:lang w:val="en-US"/>
        </w:rPr>
      </w:pPr>
      <w:bookmarkStart w:id="4" w:name="_ENREF_6"/>
      <w:r w:rsidRPr="00FD76FF">
        <w:rPr>
          <w:rFonts w:ascii="Calibri" w:hAnsi="Calibri"/>
          <w:noProof/>
          <w:lang w:val="en-US"/>
        </w:rPr>
        <w:t xml:space="preserve">United-Nations. (2008). </w:t>
      </w:r>
      <w:r w:rsidRPr="000531C1">
        <w:rPr>
          <w:rFonts w:ascii="Calibri" w:hAnsi="Calibri"/>
          <w:i/>
          <w:noProof/>
          <w:lang w:val="en-US"/>
        </w:rPr>
        <w:t>Convention on the rights of persons with disabilities</w:t>
      </w:r>
      <w:r w:rsidRPr="00FD76FF">
        <w:rPr>
          <w:rFonts w:ascii="Calibri" w:hAnsi="Calibri"/>
          <w:noProof/>
          <w:lang w:val="en-US"/>
        </w:rPr>
        <w:t xml:space="preserve">. </w:t>
      </w:r>
      <w:r w:rsidRPr="00ED0F6A">
        <w:rPr>
          <w:rFonts w:ascii="Calibri" w:hAnsi="Calibri"/>
          <w:noProof/>
          <w:lang w:val="en-US"/>
        </w:rPr>
        <w:t>New York: United Nations.</w:t>
      </w:r>
      <w:bookmarkEnd w:id="4"/>
    </w:p>
    <w:p w:rsidR="00FD76FF" w:rsidRPr="00744941" w:rsidRDefault="00FD76FF" w:rsidP="00E049C8">
      <w:pPr>
        <w:spacing w:after="0" w:line="240" w:lineRule="auto"/>
        <w:ind w:left="720" w:hanging="720"/>
        <w:jc w:val="both"/>
        <w:rPr>
          <w:rFonts w:ascii="Calibri" w:hAnsi="Calibri"/>
          <w:noProof/>
          <w:lang w:val="en-US"/>
        </w:rPr>
      </w:pPr>
      <w:proofErr w:type="gramStart"/>
      <w:r w:rsidRPr="00FD76FF">
        <w:rPr>
          <w:lang w:val="en-US"/>
        </w:rPr>
        <w:t>Williams, C. C., &amp; Round, J. (2009).</w:t>
      </w:r>
      <w:proofErr w:type="gramEnd"/>
      <w:r w:rsidRPr="00FD76FF">
        <w:rPr>
          <w:lang w:val="en-US"/>
        </w:rPr>
        <w:t xml:space="preserve"> </w:t>
      </w:r>
      <w:proofErr w:type="gramStart"/>
      <w:r w:rsidRPr="00FD76FF">
        <w:rPr>
          <w:lang w:val="en-US"/>
        </w:rPr>
        <w:t>Evaluating informal entrepreneurs' motives: evidence from Moscow.</w:t>
      </w:r>
      <w:proofErr w:type="gramEnd"/>
      <w:r w:rsidRPr="00FD76FF">
        <w:rPr>
          <w:lang w:val="en-US"/>
        </w:rPr>
        <w:t xml:space="preserve"> </w:t>
      </w:r>
      <w:r w:rsidRPr="00744941">
        <w:rPr>
          <w:i/>
          <w:lang w:val="en-US"/>
        </w:rPr>
        <w:t xml:space="preserve">International Journal of Entrepreneurial </w:t>
      </w:r>
      <w:proofErr w:type="spellStart"/>
      <w:r w:rsidRPr="00744941">
        <w:rPr>
          <w:i/>
          <w:lang w:val="en-US"/>
        </w:rPr>
        <w:t>Behaviour</w:t>
      </w:r>
      <w:proofErr w:type="spellEnd"/>
      <w:r w:rsidRPr="00744941">
        <w:rPr>
          <w:i/>
          <w:lang w:val="en-US"/>
        </w:rPr>
        <w:t xml:space="preserve"> &amp; Research, 15</w:t>
      </w:r>
      <w:r w:rsidRPr="00744941">
        <w:rPr>
          <w:lang w:val="en-US"/>
        </w:rPr>
        <w:t>, 94-107.</w:t>
      </w:r>
    </w:p>
    <w:p w:rsidR="00744941" w:rsidRDefault="00744941">
      <w:pPr>
        <w:rPr>
          <w:lang w:val="en-US"/>
        </w:rPr>
      </w:pPr>
      <w:r>
        <w:rPr>
          <w:lang w:val="en-US"/>
        </w:rPr>
        <w:br w:type="page"/>
      </w:r>
    </w:p>
    <w:p w:rsidR="00FD76FF" w:rsidRPr="00FA30D0" w:rsidRDefault="00744941" w:rsidP="00204C6F">
      <w:pPr>
        <w:spacing w:after="0" w:line="480" w:lineRule="auto"/>
        <w:jc w:val="both"/>
        <w:rPr>
          <w:b/>
          <w:lang w:val="en-US"/>
        </w:rPr>
      </w:pPr>
      <w:r w:rsidRPr="00FA30D0">
        <w:rPr>
          <w:b/>
          <w:lang w:val="en-US"/>
        </w:rPr>
        <w:lastRenderedPageBreak/>
        <w:t xml:space="preserve">Table 1: Findings for disabled and non-disabled </w:t>
      </w:r>
      <w:proofErr w:type="spellStart"/>
      <w:r w:rsidRPr="00FA30D0">
        <w:rPr>
          <w:b/>
          <w:lang w:val="en-US"/>
        </w:rPr>
        <w:t>microbank</w:t>
      </w:r>
      <w:proofErr w:type="spellEnd"/>
      <w:r w:rsidRPr="00FA30D0">
        <w:rPr>
          <w:b/>
          <w:lang w:val="en-US"/>
        </w:rPr>
        <w:t xml:space="preserve"> customers</w:t>
      </w:r>
    </w:p>
    <w:p w:rsidR="00744941" w:rsidRDefault="00BD1287" w:rsidP="00204C6F">
      <w:pPr>
        <w:spacing w:after="0" w:line="480" w:lineRule="auto"/>
        <w:jc w:val="both"/>
        <w:rPr>
          <w:lang w:val="en-US"/>
        </w:rPr>
      </w:pPr>
      <w:r w:rsidRPr="00BD1287">
        <w:rPr>
          <w:noProof/>
          <w:lang w:eastAsia="nb-NO"/>
        </w:rPr>
        <w:drawing>
          <wp:inline distT="0" distB="0" distL="0" distR="0" wp14:anchorId="47EC5FB9" wp14:editId="52210975">
            <wp:extent cx="5760720" cy="528699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286995"/>
                    </a:xfrm>
                    <a:prstGeom prst="rect">
                      <a:avLst/>
                    </a:prstGeom>
                    <a:noFill/>
                    <a:ln>
                      <a:noFill/>
                    </a:ln>
                  </pic:spPr>
                </pic:pic>
              </a:graphicData>
            </a:graphic>
          </wp:inline>
        </w:drawing>
      </w:r>
    </w:p>
    <w:p w:rsidR="00744941" w:rsidRPr="00FA30D0" w:rsidRDefault="00FA30D0" w:rsidP="00FA30D0">
      <w:pPr>
        <w:spacing w:after="0" w:line="240" w:lineRule="auto"/>
        <w:jc w:val="both"/>
        <w:rPr>
          <w:sz w:val="20"/>
          <w:szCs w:val="20"/>
          <w:lang w:val="en-US"/>
        </w:rPr>
      </w:pPr>
      <w:r w:rsidRPr="00FA30D0">
        <w:rPr>
          <w:sz w:val="20"/>
          <w:szCs w:val="20"/>
          <w:lang w:val="en-US"/>
        </w:rPr>
        <w:t>The rig</w:t>
      </w:r>
      <w:r w:rsidR="008F65B1">
        <w:rPr>
          <w:sz w:val="20"/>
          <w:szCs w:val="20"/>
          <w:lang w:val="en-US"/>
        </w:rPr>
        <w:t>htmost column</w:t>
      </w:r>
      <w:r w:rsidRPr="00FA30D0">
        <w:rPr>
          <w:sz w:val="20"/>
          <w:szCs w:val="20"/>
          <w:lang w:val="en-US"/>
        </w:rPr>
        <w:t xml:space="preserve"> presents the differences in means between the two sub-samples</w:t>
      </w:r>
      <w:r>
        <w:rPr>
          <w:sz w:val="20"/>
          <w:szCs w:val="20"/>
          <w:lang w:val="en-US"/>
        </w:rPr>
        <w:t>.</w:t>
      </w:r>
      <w:r w:rsidRPr="00FA30D0">
        <w:rPr>
          <w:sz w:val="20"/>
          <w:szCs w:val="20"/>
          <w:lang w:val="en-US"/>
        </w:rPr>
        <w:t xml:space="preserve"> ***, **, and * denote the conventional 1%, 5% and 10% significance levels</w:t>
      </w:r>
      <w:r w:rsidR="008F65B1" w:rsidRPr="008F65B1">
        <w:rPr>
          <w:sz w:val="20"/>
          <w:szCs w:val="20"/>
          <w:lang w:val="en-US"/>
        </w:rPr>
        <w:t xml:space="preserve"> </w:t>
      </w:r>
      <w:r w:rsidR="008F65B1">
        <w:rPr>
          <w:sz w:val="20"/>
          <w:szCs w:val="20"/>
          <w:lang w:val="en-US"/>
        </w:rPr>
        <w:t>(</w:t>
      </w:r>
      <w:r w:rsidR="008F65B1" w:rsidRPr="00FA30D0">
        <w:rPr>
          <w:sz w:val="20"/>
          <w:szCs w:val="20"/>
          <w:lang w:val="en-US"/>
        </w:rPr>
        <w:t xml:space="preserve">as measured by </w:t>
      </w:r>
      <w:r w:rsidR="008F65B1">
        <w:rPr>
          <w:sz w:val="20"/>
          <w:szCs w:val="20"/>
          <w:lang w:val="en-US"/>
        </w:rPr>
        <w:t xml:space="preserve">a </w:t>
      </w:r>
      <w:r w:rsidR="008F65B1" w:rsidRPr="00FA30D0">
        <w:rPr>
          <w:sz w:val="20"/>
          <w:szCs w:val="20"/>
          <w:lang w:val="en-US"/>
        </w:rPr>
        <w:t xml:space="preserve">standard </w:t>
      </w:r>
      <w:r w:rsidR="008F65B1">
        <w:rPr>
          <w:sz w:val="20"/>
          <w:szCs w:val="20"/>
          <w:lang w:val="en-US"/>
        </w:rPr>
        <w:t xml:space="preserve">two-sided </w:t>
      </w:r>
      <w:r w:rsidR="008F65B1" w:rsidRPr="00FA30D0">
        <w:rPr>
          <w:sz w:val="20"/>
          <w:szCs w:val="20"/>
          <w:lang w:val="en-US"/>
        </w:rPr>
        <w:t>t-tests</w:t>
      </w:r>
      <w:r w:rsidR="008F65B1">
        <w:rPr>
          <w:sz w:val="20"/>
          <w:szCs w:val="20"/>
          <w:lang w:val="en-US"/>
        </w:rPr>
        <w:t>)</w:t>
      </w:r>
      <w:r w:rsidRPr="00FA30D0">
        <w:rPr>
          <w:sz w:val="20"/>
          <w:szCs w:val="20"/>
          <w:lang w:val="en-US"/>
        </w:rPr>
        <w:t xml:space="preserve">. </w:t>
      </w:r>
    </w:p>
    <w:sectPr w:rsidR="00744941" w:rsidRPr="00FA30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63" w:rsidRDefault="007D2163" w:rsidP="004D45E2">
      <w:pPr>
        <w:spacing w:after="0" w:line="240" w:lineRule="auto"/>
      </w:pPr>
      <w:r>
        <w:separator/>
      </w:r>
    </w:p>
  </w:endnote>
  <w:endnote w:type="continuationSeparator" w:id="0">
    <w:p w:rsidR="007D2163" w:rsidRDefault="007D2163" w:rsidP="004D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61606"/>
      <w:docPartObj>
        <w:docPartGallery w:val="Page Numbers (Bottom of Page)"/>
        <w:docPartUnique/>
      </w:docPartObj>
    </w:sdtPr>
    <w:sdtEndPr/>
    <w:sdtContent>
      <w:p w:rsidR="006D1904" w:rsidRDefault="006D1904">
        <w:pPr>
          <w:pStyle w:val="Bunntekst"/>
          <w:jc w:val="right"/>
        </w:pPr>
        <w:r>
          <w:fldChar w:fldCharType="begin"/>
        </w:r>
        <w:r>
          <w:instrText>PAGE   \* MERGEFORMAT</w:instrText>
        </w:r>
        <w:r>
          <w:fldChar w:fldCharType="separate"/>
        </w:r>
        <w:r w:rsidR="00723744">
          <w:rPr>
            <w:noProof/>
          </w:rPr>
          <w:t>1</w:t>
        </w:r>
        <w:r>
          <w:fldChar w:fldCharType="end"/>
        </w:r>
      </w:p>
    </w:sdtContent>
  </w:sdt>
  <w:p w:rsidR="006D1904" w:rsidRDefault="006D19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63" w:rsidRDefault="007D2163" w:rsidP="004D45E2">
      <w:pPr>
        <w:spacing w:after="0" w:line="240" w:lineRule="auto"/>
      </w:pPr>
      <w:r>
        <w:separator/>
      </w:r>
    </w:p>
  </w:footnote>
  <w:footnote w:type="continuationSeparator" w:id="0">
    <w:p w:rsidR="007D2163" w:rsidRDefault="007D2163" w:rsidP="004D4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22C8"/>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CF"/>
    <w:rsid w:val="000531C1"/>
    <w:rsid w:val="000D38DE"/>
    <w:rsid w:val="000E0972"/>
    <w:rsid w:val="00161D27"/>
    <w:rsid w:val="00204C6F"/>
    <w:rsid w:val="00230A2D"/>
    <w:rsid w:val="002314CF"/>
    <w:rsid w:val="002D5963"/>
    <w:rsid w:val="002F2713"/>
    <w:rsid w:val="00382E0A"/>
    <w:rsid w:val="003C01AF"/>
    <w:rsid w:val="003F2E58"/>
    <w:rsid w:val="0042370B"/>
    <w:rsid w:val="00480615"/>
    <w:rsid w:val="004C40E3"/>
    <w:rsid w:val="004D45E2"/>
    <w:rsid w:val="004E78B0"/>
    <w:rsid w:val="00516642"/>
    <w:rsid w:val="005F15D7"/>
    <w:rsid w:val="00685BE9"/>
    <w:rsid w:val="006C2E41"/>
    <w:rsid w:val="006D1904"/>
    <w:rsid w:val="006D7A4E"/>
    <w:rsid w:val="006F2A0D"/>
    <w:rsid w:val="00720D35"/>
    <w:rsid w:val="00723744"/>
    <w:rsid w:val="0073051C"/>
    <w:rsid w:val="00744941"/>
    <w:rsid w:val="00752956"/>
    <w:rsid w:val="007718A1"/>
    <w:rsid w:val="007B3E29"/>
    <w:rsid w:val="007B7E16"/>
    <w:rsid w:val="007D2163"/>
    <w:rsid w:val="008B30F4"/>
    <w:rsid w:val="008E2ACC"/>
    <w:rsid w:val="008F65B1"/>
    <w:rsid w:val="00925ABB"/>
    <w:rsid w:val="00994C6A"/>
    <w:rsid w:val="009D11FE"/>
    <w:rsid w:val="00A16AB3"/>
    <w:rsid w:val="00A80224"/>
    <w:rsid w:val="00A84DC4"/>
    <w:rsid w:val="00A90168"/>
    <w:rsid w:val="00B34615"/>
    <w:rsid w:val="00B60C80"/>
    <w:rsid w:val="00B67CAA"/>
    <w:rsid w:val="00BC2557"/>
    <w:rsid w:val="00BD1287"/>
    <w:rsid w:val="00C55966"/>
    <w:rsid w:val="00C7688D"/>
    <w:rsid w:val="00CB46B5"/>
    <w:rsid w:val="00CB5274"/>
    <w:rsid w:val="00CB79B5"/>
    <w:rsid w:val="00CF6192"/>
    <w:rsid w:val="00DA0B28"/>
    <w:rsid w:val="00DA3AC4"/>
    <w:rsid w:val="00E049C8"/>
    <w:rsid w:val="00E3015B"/>
    <w:rsid w:val="00E32C18"/>
    <w:rsid w:val="00E51C49"/>
    <w:rsid w:val="00E846F8"/>
    <w:rsid w:val="00E955F5"/>
    <w:rsid w:val="00EB007F"/>
    <w:rsid w:val="00ED0F6A"/>
    <w:rsid w:val="00EE2FEF"/>
    <w:rsid w:val="00F551CB"/>
    <w:rsid w:val="00F847AE"/>
    <w:rsid w:val="00FA30D0"/>
    <w:rsid w:val="00FD2701"/>
    <w:rsid w:val="00FD76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4D45E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D45E2"/>
    <w:rPr>
      <w:sz w:val="20"/>
      <w:szCs w:val="20"/>
    </w:rPr>
  </w:style>
  <w:style w:type="character" w:styleId="Fotnotereferanse">
    <w:name w:val="footnote reference"/>
    <w:basedOn w:val="Standardskriftforavsnitt"/>
    <w:uiPriority w:val="99"/>
    <w:semiHidden/>
    <w:unhideWhenUsed/>
    <w:rsid w:val="004D45E2"/>
    <w:rPr>
      <w:vertAlign w:val="superscript"/>
    </w:rPr>
  </w:style>
  <w:style w:type="paragraph" w:styleId="Topptekst">
    <w:name w:val="header"/>
    <w:basedOn w:val="Normal"/>
    <w:link w:val="TopptekstTegn"/>
    <w:uiPriority w:val="99"/>
    <w:unhideWhenUsed/>
    <w:rsid w:val="004237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370B"/>
  </w:style>
  <w:style w:type="paragraph" w:styleId="Bunntekst">
    <w:name w:val="footer"/>
    <w:basedOn w:val="Normal"/>
    <w:link w:val="BunntekstTegn"/>
    <w:uiPriority w:val="99"/>
    <w:unhideWhenUsed/>
    <w:rsid w:val="004237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370B"/>
  </w:style>
  <w:style w:type="paragraph" w:styleId="Bobletekst">
    <w:name w:val="Balloon Text"/>
    <w:basedOn w:val="Normal"/>
    <w:link w:val="BobletekstTegn"/>
    <w:uiPriority w:val="99"/>
    <w:semiHidden/>
    <w:unhideWhenUsed/>
    <w:rsid w:val="00FA30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30D0"/>
    <w:rPr>
      <w:rFonts w:ascii="Tahoma" w:hAnsi="Tahoma" w:cs="Tahoma"/>
      <w:sz w:val="16"/>
      <w:szCs w:val="16"/>
    </w:rPr>
  </w:style>
  <w:style w:type="paragraph" w:styleId="Listeavsnitt">
    <w:name w:val="List Paragraph"/>
    <w:basedOn w:val="Normal"/>
    <w:uiPriority w:val="34"/>
    <w:qFormat/>
    <w:rsid w:val="00ED0F6A"/>
    <w:pPr>
      <w:ind w:left="720"/>
      <w:contextualSpacing/>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4D45E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D45E2"/>
    <w:rPr>
      <w:sz w:val="20"/>
      <w:szCs w:val="20"/>
    </w:rPr>
  </w:style>
  <w:style w:type="character" w:styleId="Fotnotereferanse">
    <w:name w:val="footnote reference"/>
    <w:basedOn w:val="Standardskriftforavsnitt"/>
    <w:uiPriority w:val="99"/>
    <w:semiHidden/>
    <w:unhideWhenUsed/>
    <w:rsid w:val="004D45E2"/>
    <w:rPr>
      <w:vertAlign w:val="superscript"/>
    </w:rPr>
  </w:style>
  <w:style w:type="paragraph" w:styleId="Topptekst">
    <w:name w:val="header"/>
    <w:basedOn w:val="Normal"/>
    <w:link w:val="TopptekstTegn"/>
    <w:uiPriority w:val="99"/>
    <w:unhideWhenUsed/>
    <w:rsid w:val="004237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370B"/>
  </w:style>
  <w:style w:type="paragraph" w:styleId="Bunntekst">
    <w:name w:val="footer"/>
    <w:basedOn w:val="Normal"/>
    <w:link w:val="BunntekstTegn"/>
    <w:uiPriority w:val="99"/>
    <w:unhideWhenUsed/>
    <w:rsid w:val="004237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370B"/>
  </w:style>
  <w:style w:type="paragraph" w:styleId="Bobletekst">
    <w:name w:val="Balloon Text"/>
    <w:basedOn w:val="Normal"/>
    <w:link w:val="BobletekstTegn"/>
    <w:uiPriority w:val="99"/>
    <w:semiHidden/>
    <w:unhideWhenUsed/>
    <w:rsid w:val="00FA30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30D0"/>
    <w:rPr>
      <w:rFonts w:ascii="Tahoma" w:hAnsi="Tahoma" w:cs="Tahoma"/>
      <w:sz w:val="16"/>
      <w:szCs w:val="16"/>
    </w:rPr>
  </w:style>
  <w:style w:type="paragraph" w:styleId="Listeavsnitt">
    <w:name w:val="List Paragraph"/>
    <w:basedOn w:val="Normal"/>
    <w:uiPriority w:val="34"/>
    <w:qFormat/>
    <w:rsid w:val="00ED0F6A"/>
    <w:pPr>
      <w:ind w:left="720"/>
      <w:contextualSpacing/>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18C4-1BA2-4C80-AC1A-D2BFBD11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A85B7C03.dotm</Template>
  <TotalTime>2</TotalTime>
  <Pages>6</Pages>
  <Words>1072</Words>
  <Characters>5686</Characters>
  <Application>Microsoft Office Word</Application>
  <DocSecurity>4</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Atle Beisland</dc:creator>
  <cp:lastModifiedBy>Tord Augland</cp:lastModifiedBy>
  <cp:revision>2</cp:revision>
  <cp:lastPrinted>2014-12-12T09:29:00Z</cp:lastPrinted>
  <dcterms:created xsi:type="dcterms:W3CDTF">2017-01-04T11:38:00Z</dcterms:created>
  <dcterms:modified xsi:type="dcterms:W3CDTF">2017-01-04T11:38:00Z</dcterms:modified>
</cp:coreProperties>
</file>